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3894" w14:textId="174371EE" w:rsidR="00245005" w:rsidRPr="00DC202B" w:rsidRDefault="00245005" w:rsidP="005B08D6">
      <w:pPr>
        <w:jc w:val="both"/>
        <w:rPr>
          <w:rFonts w:ascii="Times New Roman" w:hAnsi="Times New Roman" w:cs="Times New Roman"/>
          <w:sz w:val="22"/>
          <w:szCs w:val="22"/>
        </w:rPr>
      </w:pPr>
      <w:r w:rsidRPr="00DC202B">
        <w:rPr>
          <w:rFonts w:ascii="Times New Roman" w:hAnsi="Times New Roman" w:cs="Times New Roman"/>
          <w:sz w:val="22"/>
          <w:szCs w:val="22"/>
        </w:rPr>
        <w:t>Point-to–point responses to review comments</w:t>
      </w:r>
      <w:r w:rsidR="00687065" w:rsidRPr="00DC202B">
        <w:rPr>
          <w:rFonts w:ascii="Times New Roman" w:hAnsi="Times New Roman" w:cs="Times New Roman"/>
          <w:sz w:val="22"/>
          <w:szCs w:val="22"/>
        </w:rPr>
        <w:t xml:space="preserve"> (</w:t>
      </w:r>
      <w:r w:rsidR="00F72A02" w:rsidRPr="00DC202B">
        <w:rPr>
          <w:rFonts w:ascii="Times New Roman" w:hAnsi="Times New Roman" w:cs="Times New Roman"/>
          <w:sz w:val="22"/>
          <w:szCs w:val="22"/>
        </w:rPr>
        <w:t>egusphere-2024-</w:t>
      </w:r>
      <w:r w:rsidR="005B08D6">
        <w:rPr>
          <w:rFonts w:ascii="Times New Roman" w:hAnsi="Times New Roman" w:cs="Times New Roman"/>
          <w:sz w:val="22"/>
          <w:szCs w:val="22"/>
        </w:rPr>
        <w:t>3290</w:t>
      </w:r>
      <w:r w:rsidRPr="00DC202B">
        <w:rPr>
          <w:rFonts w:ascii="Times New Roman" w:hAnsi="Times New Roman" w:cs="Times New Roman"/>
          <w:sz w:val="22"/>
          <w:szCs w:val="22"/>
        </w:rPr>
        <w:t>）</w:t>
      </w:r>
    </w:p>
    <w:p w14:paraId="1BED360F" w14:textId="45B13712" w:rsidR="00687065" w:rsidRPr="005B08D6" w:rsidRDefault="00687065" w:rsidP="005B08D6">
      <w:pPr>
        <w:jc w:val="both"/>
        <w:rPr>
          <w:rFonts w:ascii="Times New Roman" w:hAnsi="Times New Roman" w:cs="Times New Roman"/>
          <w:sz w:val="22"/>
          <w:szCs w:val="22"/>
        </w:rPr>
      </w:pPr>
      <w:r w:rsidRPr="00DC202B">
        <w:rPr>
          <w:rFonts w:ascii="Times New Roman" w:hAnsi="Times New Roman" w:cs="Times New Roman"/>
          <w:sz w:val="22"/>
          <w:szCs w:val="22"/>
        </w:rPr>
        <w:t xml:space="preserve">Title: </w:t>
      </w:r>
      <w:r w:rsidR="005B08D6" w:rsidRPr="005B08D6">
        <w:rPr>
          <w:rFonts w:ascii="Times New Roman" w:hAnsi="Times New Roman" w:cs="Times New Roman"/>
          <w:sz w:val="22"/>
          <w:szCs w:val="22"/>
        </w:rPr>
        <w:t>Emissions of Intermediate- and Semi-Volatile Organic Compounds (I/SVOCs) from Different Cumulative Mileage Diesel Vehicles under Various Ambient Temperatures</w:t>
      </w:r>
    </w:p>
    <w:p w14:paraId="70B2F8BE" w14:textId="34D508E5" w:rsidR="002A6D2B" w:rsidRPr="00DC202B" w:rsidRDefault="002A6D2B" w:rsidP="005B08D6">
      <w:pPr>
        <w:jc w:val="both"/>
        <w:rPr>
          <w:rFonts w:ascii="Times New Roman" w:hAnsi="Times New Roman" w:cs="Times New Roman"/>
          <w:sz w:val="22"/>
          <w:szCs w:val="22"/>
        </w:rPr>
      </w:pPr>
      <w:r w:rsidRPr="00DC202B">
        <w:rPr>
          <w:rFonts w:ascii="Times New Roman" w:hAnsi="Times New Roman" w:cs="Times New Roman"/>
          <w:sz w:val="22"/>
          <w:szCs w:val="22"/>
        </w:rPr>
        <w:t xml:space="preserve">Review of </w:t>
      </w:r>
      <w:proofErr w:type="spellStart"/>
      <w:r w:rsidR="005B08D6">
        <w:rPr>
          <w:rFonts w:ascii="Times New Roman" w:hAnsi="Times New Roman" w:cs="Times New Roman"/>
          <w:sz w:val="22"/>
          <w:szCs w:val="22"/>
        </w:rPr>
        <w:t>Shuwen</w:t>
      </w:r>
      <w:proofErr w:type="spellEnd"/>
      <w:r w:rsidRPr="00DC202B">
        <w:rPr>
          <w:rFonts w:ascii="Times New Roman" w:hAnsi="Times New Roman" w:cs="Times New Roman"/>
          <w:sz w:val="22"/>
          <w:szCs w:val="22"/>
        </w:rPr>
        <w:t xml:space="preserve"> </w:t>
      </w:r>
      <w:r w:rsidR="005B08D6">
        <w:rPr>
          <w:rFonts w:ascii="Times New Roman" w:hAnsi="Times New Roman" w:cs="Times New Roman"/>
          <w:sz w:val="22"/>
          <w:szCs w:val="22"/>
        </w:rPr>
        <w:t>Guo</w:t>
      </w:r>
      <w:r w:rsidRPr="00DC202B">
        <w:rPr>
          <w:rFonts w:ascii="Times New Roman" w:hAnsi="Times New Roman" w:cs="Times New Roman"/>
          <w:sz w:val="22"/>
          <w:szCs w:val="22"/>
        </w:rPr>
        <w:t xml:space="preserve"> et al.</w:t>
      </w:r>
    </w:p>
    <w:p w14:paraId="65BA1E83" w14:textId="77777777" w:rsid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In the current study, gaseous and particulate I/SVOCs emitted from four HDDVs were analyzed using GC×GC-MS. The emission factors as well as the composition of I/SVOCs were reported. Overall, the experiments were nicely done and the data are well analyzed. The current contribution is a welcome addition to the field. There are several places in the paper are a bit obscure as detailed in the comments below. Beyond these, I do not see any major obstacles to publication.</w:t>
      </w:r>
    </w:p>
    <w:p w14:paraId="61AC43B9" w14:textId="6A5F512D" w:rsidR="0092537B" w:rsidRPr="00DC202B" w:rsidRDefault="0092537B" w:rsidP="005B08D6">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0D641FA7" w14:textId="1061967D" w:rsidR="005B50A4" w:rsidRPr="00DC202B" w:rsidRDefault="00416276" w:rsidP="005B08D6">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We thank the reviewer for</w:t>
      </w:r>
      <w:r w:rsidR="00F25BB0" w:rsidRPr="00DC202B">
        <w:rPr>
          <w:rFonts w:ascii="Times New Roman" w:hAnsi="Times New Roman" w:cs="Times New Roman"/>
          <w:color w:val="0000FF"/>
          <w:sz w:val="22"/>
          <w:szCs w:val="22"/>
        </w:rPr>
        <w:t xml:space="preserve"> </w:t>
      </w:r>
      <w:r w:rsidRPr="00DC202B">
        <w:rPr>
          <w:rFonts w:ascii="Times New Roman" w:hAnsi="Times New Roman" w:cs="Times New Roman"/>
          <w:color w:val="0000FF"/>
          <w:sz w:val="22"/>
          <w:szCs w:val="22"/>
        </w:rPr>
        <w:t>supporting our work</w:t>
      </w:r>
      <w:r w:rsidR="001E70C0" w:rsidRPr="00DC202B">
        <w:rPr>
          <w:rFonts w:ascii="Times New Roman" w:hAnsi="Times New Roman" w:cs="Times New Roman"/>
          <w:color w:val="0000FF"/>
          <w:sz w:val="22"/>
          <w:szCs w:val="22"/>
        </w:rPr>
        <w:t>, and we prov</w:t>
      </w:r>
      <w:r w:rsidR="00F25BB0" w:rsidRPr="00DC202B">
        <w:rPr>
          <w:rFonts w:ascii="Times New Roman" w:hAnsi="Times New Roman" w:cs="Times New Roman"/>
          <w:color w:val="0000FF"/>
          <w:sz w:val="22"/>
          <w:szCs w:val="22"/>
        </w:rPr>
        <w:t>i</w:t>
      </w:r>
      <w:r w:rsidR="001E70C0" w:rsidRPr="00DC202B">
        <w:rPr>
          <w:rFonts w:ascii="Times New Roman" w:hAnsi="Times New Roman" w:cs="Times New Roman"/>
          <w:color w:val="0000FF"/>
          <w:sz w:val="22"/>
          <w:szCs w:val="22"/>
        </w:rPr>
        <w:t>d</w:t>
      </w:r>
      <w:r w:rsidR="00F25BB0" w:rsidRPr="00DC202B">
        <w:rPr>
          <w:rFonts w:ascii="Times New Roman" w:hAnsi="Times New Roman" w:cs="Times New Roman"/>
          <w:color w:val="0000FF"/>
          <w:sz w:val="22"/>
          <w:szCs w:val="22"/>
        </w:rPr>
        <w:t>e</w:t>
      </w:r>
      <w:r w:rsidR="001E70C0" w:rsidRPr="00DC202B">
        <w:rPr>
          <w:rFonts w:ascii="Times New Roman" w:hAnsi="Times New Roman" w:cs="Times New Roman"/>
          <w:color w:val="0000FF"/>
          <w:sz w:val="22"/>
          <w:szCs w:val="22"/>
        </w:rPr>
        <w:t xml:space="preserve"> below a</w:t>
      </w:r>
      <w:r w:rsidR="00F25BB0" w:rsidRPr="00DC202B">
        <w:rPr>
          <w:rFonts w:ascii="Times New Roman" w:hAnsi="Times New Roman" w:cs="Times New Roman"/>
          <w:color w:val="0000FF"/>
          <w:sz w:val="22"/>
          <w:szCs w:val="22"/>
        </w:rPr>
        <w:t xml:space="preserve"> point-by-point response to the individual comments</w:t>
      </w:r>
      <w:r w:rsidR="000E284A" w:rsidRPr="00DC202B">
        <w:rPr>
          <w:rFonts w:ascii="Times New Roman" w:hAnsi="Times New Roman" w:cs="Times New Roman"/>
          <w:color w:val="0000FF"/>
          <w:sz w:val="22"/>
          <w:szCs w:val="22"/>
        </w:rPr>
        <w:t>.</w:t>
      </w:r>
    </w:p>
    <w:p w14:paraId="37130E26" w14:textId="20167743"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Specific comments:</w:t>
      </w:r>
    </w:p>
    <w:p w14:paraId="72C76900" w14:textId="77777777"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(1) The experiments were well organized. My general question is the innovation of the current study. The I/SVOC emissions as well as their compositions from heavy diesel vehicles have been widely reported, including the studies from their own group. Any new findings that the authors would like to highlight in the current one?</w:t>
      </w:r>
    </w:p>
    <w:p w14:paraId="57FBEADA" w14:textId="77777777" w:rsidR="005B08D6" w:rsidRPr="00DC202B" w:rsidRDefault="005B08D6" w:rsidP="005B08D6">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13B3B98C" w14:textId="26A6BF48" w:rsidR="00ED5077" w:rsidRDefault="005B08D6" w:rsidP="005B08D6">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 xml:space="preserve">Thanks for the comment. </w:t>
      </w:r>
      <w:r w:rsidR="00ED5077">
        <w:rPr>
          <w:rFonts w:ascii="Times New Roman" w:hAnsi="Times New Roman" w:cs="Times New Roman"/>
          <w:color w:val="0000FF"/>
          <w:sz w:val="22"/>
          <w:szCs w:val="22"/>
        </w:rPr>
        <w:t>W</w:t>
      </w:r>
      <w:r w:rsidR="00ED5077">
        <w:rPr>
          <w:rFonts w:ascii="Times New Roman" w:hAnsi="Times New Roman" w:cs="Times New Roman" w:hint="eastAsia"/>
          <w:color w:val="0000FF"/>
          <w:sz w:val="22"/>
          <w:szCs w:val="22"/>
        </w:rPr>
        <w:t>e</w:t>
      </w:r>
      <w:r w:rsidR="00ED5077">
        <w:rPr>
          <w:rFonts w:ascii="Times New Roman" w:hAnsi="Times New Roman" w:cs="Times New Roman"/>
          <w:color w:val="0000FF"/>
          <w:sz w:val="22"/>
          <w:szCs w:val="22"/>
        </w:rPr>
        <w:t xml:space="preserve"> highlight the findings below:</w:t>
      </w:r>
    </w:p>
    <w:p w14:paraId="256A0C74" w14:textId="44734DD5" w:rsidR="00AA31E0" w:rsidRPr="00AA31E0" w:rsidRDefault="00ED5077" w:rsidP="00AA31E0">
      <w:pPr>
        <w:pStyle w:val="a9"/>
        <w:numPr>
          <w:ilvl w:val="0"/>
          <w:numId w:val="2"/>
        </w:numPr>
        <w:jc w:val="both"/>
        <w:rPr>
          <w:rFonts w:ascii="Times New Roman" w:hAnsi="Times New Roman" w:cs="Times New Roman"/>
          <w:color w:val="0000FF"/>
          <w:sz w:val="22"/>
          <w:szCs w:val="22"/>
        </w:rPr>
      </w:pPr>
      <w:r w:rsidRPr="00AA31E0">
        <w:rPr>
          <w:rFonts w:ascii="Times New Roman" w:hAnsi="Times New Roman" w:cs="Times New Roman"/>
          <w:color w:val="0000FF"/>
          <w:sz w:val="22"/>
          <w:szCs w:val="22"/>
        </w:rPr>
        <w:t xml:space="preserve">This study discussed the differences in I/SVOC emissions of heavy-duty diesel vehicles (HDDVs) with different cumulative mileage and </w:t>
      </w:r>
      <w:r w:rsidR="000127DD" w:rsidRPr="00AA31E0">
        <w:rPr>
          <w:rFonts w:ascii="Times New Roman" w:hAnsi="Times New Roman" w:cs="Times New Roman"/>
          <w:color w:val="0000FF"/>
          <w:sz w:val="22"/>
          <w:szCs w:val="22"/>
        </w:rPr>
        <w:t>calculated the emission deterioration</w:t>
      </w:r>
      <w:r w:rsidRPr="00AA31E0">
        <w:rPr>
          <w:rFonts w:ascii="Times New Roman" w:hAnsi="Times New Roman" w:cs="Times New Roman"/>
          <w:color w:val="0000FF"/>
          <w:sz w:val="22"/>
          <w:szCs w:val="22"/>
        </w:rPr>
        <w:t xml:space="preserve"> </w:t>
      </w:r>
      <w:r w:rsidR="000127DD" w:rsidRPr="00AA31E0">
        <w:rPr>
          <w:rFonts w:ascii="Times New Roman" w:hAnsi="Times New Roman" w:cs="Times New Roman"/>
          <w:color w:val="0000FF"/>
          <w:sz w:val="22"/>
          <w:szCs w:val="22"/>
        </w:rPr>
        <w:t>coefficient, which has been overlooked in previous studies (</w:t>
      </w:r>
      <w:r w:rsidR="001B5FA2">
        <w:rPr>
          <w:rFonts w:ascii="Times New Roman" w:hAnsi="Times New Roman" w:cs="Times New Roman"/>
          <w:color w:val="0000FF"/>
          <w:sz w:val="22"/>
          <w:szCs w:val="22"/>
        </w:rPr>
        <w:t>Chang et al., 2022; He et al., 2022a, b</w:t>
      </w:r>
      <w:r w:rsidR="00B82330">
        <w:rPr>
          <w:rFonts w:ascii="Times New Roman" w:hAnsi="Times New Roman" w:cs="Times New Roman"/>
          <w:color w:val="0000FF"/>
          <w:sz w:val="22"/>
          <w:szCs w:val="22"/>
        </w:rPr>
        <w:t>; Liu et al., 2021</w:t>
      </w:r>
      <w:r w:rsidR="000127DD" w:rsidRPr="00AA31E0">
        <w:rPr>
          <w:rFonts w:ascii="Times New Roman" w:hAnsi="Times New Roman" w:cs="Times New Roman"/>
          <w:color w:val="0000FF"/>
          <w:sz w:val="22"/>
          <w:szCs w:val="22"/>
        </w:rPr>
        <w:t xml:space="preserve">). We found that overlooking the I/SVOC emission degradation will result in a more than three-fold underestimation of the total I/SVOC emissions of China </w:t>
      </w:r>
      <w:r w:rsidR="00AA31E0" w:rsidRPr="00AA31E0">
        <w:rPr>
          <w:rFonts w:ascii="Times New Roman" w:hAnsi="Times New Roman" w:cs="Times New Roman" w:hint="eastAsia"/>
          <w:color w:val="0000FF"/>
          <w:sz w:val="22"/>
          <w:szCs w:val="22"/>
        </w:rPr>
        <w:t>V</w:t>
      </w:r>
      <w:r w:rsidR="00AA31E0" w:rsidRPr="00AA31E0">
        <w:rPr>
          <w:rFonts w:ascii="Times New Roman" w:hAnsi="Times New Roman" w:cs="Times New Roman"/>
          <w:color w:val="0000FF"/>
          <w:sz w:val="22"/>
          <w:szCs w:val="22"/>
        </w:rPr>
        <w:t xml:space="preserve"> HDDV</w:t>
      </w:r>
      <w:r w:rsidR="00AA31E0" w:rsidRPr="00AA31E0">
        <w:rPr>
          <w:rFonts w:ascii="Times New Roman" w:hAnsi="Times New Roman" w:cs="Times New Roman" w:hint="eastAsia"/>
          <w:color w:val="0000FF"/>
          <w:sz w:val="22"/>
          <w:szCs w:val="22"/>
        </w:rPr>
        <w:t>s</w:t>
      </w:r>
      <w:r w:rsidR="00AA31E0" w:rsidRPr="00AA31E0">
        <w:rPr>
          <w:rFonts w:ascii="Times New Roman" w:hAnsi="Times New Roman" w:cs="Times New Roman"/>
          <w:color w:val="0000FF"/>
          <w:sz w:val="22"/>
          <w:szCs w:val="22"/>
        </w:rPr>
        <w:t xml:space="preserve"> in </w:t>
      </w:r>
      <w:r w:rsidR="000127DD" w:rsidRPr="00AA31E0">
        <w:rPr>
          <w:rFonts w:ascii="Times New Roman" w:hAnsi="Times New Roman" w:cs="Times New Roman"/>
          <w:color w:val="0000FF"/>
          <w:sz w:val="22"/>
          <w:szCs w:val="22"/>
        </w:rPr>
        <w:t>China.</w:t>
      </w:r>
    </w:p>
    <w:p w14:paraId="697BA96D" w14:textId="06F56FFC" w:rsidR="00AA31E0" w:rsidRPr="00AA31E0" w:rsidRDefault="000127DD" w:rsidP="00AA31E0">
      <w:pPr>
        <w:pStyle w:val="a9"/>
        <w:numPr>
          <w:ilvl w:val="0"/>
          <w:numId w:val="2"/>
        </w:numPr>
        <w:jc w:val="both"/>
        <w:rPr>
          <w:rFonts w:ascii="Times New Roman" w:hAnsi="Times New Roman" w:cs="Times New Roman"/>
          <w:color w:val="0000FF"/>
          <w:sz w:val="22"/>
          <w:szCs w:val="22"/>
        </w:rPr>
      </w:pPr>
      <w:r w:rsidRPr="00AA31E0">
        <w:rPr>
          <w:rFonts w:ascii="Times New Roman" w:hAnsi="Times New Roman" w:cs="Times New Roman"/>
          <w:color w:val="0000FF"/>
          <w:sz w:val="22"/>
          <w:szCs w:val="22"/>
        </w:rPr>
        <w:t xml:space="preserve"> </w:t>
      </w:r>
      <w:r w:rsidR="00AA31E0">
        <w:rPr>
          <w:rFonts w:ascii="Times New Roman" w:hAnsi="Times New Roman" w:cs="Times New Roman"/>
          <w:color w:val="0000FF"/>
          <w:sz w:val="22"/>
          <w:szCs w:val="22"/>
        </w:rPr>
        <w:t>The low ambient temperatures would lead to more I/SVOC emissions for high-mileage vehicles (HMVs), but no significant impact on low-mileage vehicles (LMVs).</w:t>
      </w:r>
      <w:r w:rsidR="00F67BBB" w:rsidRPr="00F67BBB">
        <w:t xml:space="preserve"> </w:t>
      </w:r>
      <w:r w:rsidR="00F67BBB" w:rsidRPr="00F67BBB">
        <w:rPr>
          <w:rFonts w:ascii="Times New Roman" w:hAnsi="Times New Roman" w:cs="Times New Roman"/>
          <w:color w:val="0000FF"/>
          <w:sz w:val="22"/>
          <w:szCs w:val="22"/>
        </w:rPr>
        <w:t xml:space="preserve">This has also been less focused on in </w:t>
      </w:r>
      <w:r w:rsidR="00F67BBB">
        <w:rPr>
          <w:rFonts w:ascii="Times New Roman" w:hAnsi="Times New Roman" w:cs="Times New Roman" w:hint="eastAsia"/>
          <w:color w:val="0000FF"/>
          <w:sz w:val="22"/>
          <w:szCs w:val="22"/>
        </w:rPr>
        <w:t xml:space="preserve">the </w:t>
      </w:r>
      <w:r w:rsidR="00F67BBB" w:rsidRPr="00F67BBB">
        <w:rPr>
          <w:rFonts w:ascii="Times New Roman" w:hAnsi="Times New Roman" w:cs="Times New Roman"/>
          <w:color w:val="0000FF"/>
          <w:sz w:val="22"/>
          <w:szCs w:val="22"/>
        </w:rPr>
        <w:t>past</w:t>
      </w:r>
      <w:r w:rsidR="00F67BBB">
        <w:rPr>
          <w:rFonts w:ascii="Times New Roman" w:hAnsi="Times New Roman" w:cs="Times New Roman" w:hint="eastAsia"/>
          <w:color w:val="0000FF"/>
          <w:sz w:val="22"/>
          <w:szCs w:val="22"/>
        </w:rPr>
        <w:t>.</w:t>
      </w:r>
    </w:p>
    <w:p w14:paraId="67140AD3" w14:textId="46EE51FD" w:rsidR="005B08D6" w:rsidRPr="00AA31E0" w:rsidRDefault="009E5EFD" w:rsidP="00AA31E0">
      <w:pPr>
        <w:pStyle w:val="a9"/>
        <w:numPr>
          <w:ilvl w:val="0"/>
          <w:numId w:val="2"/>
        </w:numPr>
        <w:jc w:val="both"/>
        <w:rPr>
          <w:rFonts w:ascii="Times New Roman" w:hAnsi="Times New Roman" w:cs="Times New Roman"/>
          <w:color w:val="0000FF"/>
          <w:sz w:val="22"/>
          <w:szCs w:val="22"/>
        </w:rPr>
      </w:pPr>
      <w:r>
        <w:rPr>
          <w:rFonts w:ascii="Times New Roman" w:hAnsi="Times New Roman" w:cs="Times New Roman"/>
          <w:color w:val="0000FF"/>
          <w:sz w:val="22"/>
          <w:szCs w:val="22"/>
        </w:rPr>
        <w:t>We discuss</w:t>
      </w:r>
      <w:r w:rsidR="00E6039F">
        <w:rPr>
          <w:rFonts w:ascii="Times New Roman" w:hAnsi="Times New Roman" w:cs="Times New Roman"/>
          <w:color w:val="0000FF"/>
          <w:sz w:val="22"/>
          <w:szCs w:val="22"/>
        </w:rPr>
        <w:t>ed</w:t>
      </w:r>
      <w:r>
        <w:rPr>
          <w:rFonts w:ascii="Times New Roman" w:hAnsi="Times New Roman" w:cs="Times New Roman"/>
          <w:color w:val="0000FF"/>
          <w:sz w:val="22"/>
          <w:szCs w:val="22"/>
        </w:rPr>
        <w:t xml:space="preserve"> the </w:t>
      </w:r>
      <w:r w:rsidR="007B702C" w:rsidRPr="00AA31E0">
        <w:rPr>
          <w:rFonts w:ascii="Times New Roman" w:hAnsi="Times New Roman" w:cs="Times New Roman"/>
          <w:color w:val="0000FF"/>
          <w:sz w:val="22"/>
          <w:szCs w:val="22"/>
        </w:rPr>
        <w:t>certain linear correlation (R² = 0.</w:t>
      </w:r>
      <w:r w:rsidR="007B702C">
        <w:rPr>
          <w:rFonts w:ascii="Times New Roman" w:hAnsi="Times New Roman" w:cs="Times New Roman"/>
          <w:color w:val="0000FF"/>
          <w:sz w:val="22"/>
          <w:szCs w:val="22"/>
        </w:rPr>
        <w:t>7</w:t>
      </w:r>
      <w:r w:rsidR="007B702C" w:rsidRPr="00AA31E0">
        <w:rPr>
          <w:rFonts w:ascii="Times New Roman" w:hAnsi="Times New Roman" w:cs="Times New Roman"/>
          <w:color w:val="0000FF"/>
          <w:sz w:val="22"/>
          <w:szCs w:val="22"/>
        </w:rPr>
        <w:t>3)</w:t>
      </w:r>
      <w:r>
        <w:rPr>
          <w:rFonts w:ascii="Times New Roman" w:hAnsi="Times New Roman" w:cs="Times New Roman"/>
          <w:color w:val="0000FF"/>
          <w:sz w:val="22"/>
          <w:szCs w:val="22"/>
        </w:rPr>
        <w:t xml:space="preserve"> </w:t>
      </w:r>
      <w:r w:rsidRPr="00AA31E0">
        <w:rPr>
          <w:rFonts w:ascii="Times New Roman" w:hAnsi="Times New Roman" w:cs="Times New Roman"/>
          <w:color w:val="0000FF"/>
          <w:sz w:val="22"/>
          <w:szCs w:val="22"/>
        </w:rPr>
        <w:t>between I/SVOC EFs and modified combustion efficiency (MCE)</w:t>
      </w:r>
      <w:r>
        <w:rPr>
          <w:rFonts w:ascii="Times New Roman" w:hAnsi="Times New Roman" w:cs="Times New Roman"/>
          <w:color w:val="0000FF"/>
          <w:sz w:val="22"/>
          <w:szCs w:val="22"/>
        </w:rPr>
        <w:t>, which reveals the increase of I/SVOC emissions above is caused by a decrease in engine combustion efficiency.</w:t>
      </w:r>
    </w:p>
    <w:p w14:paraId="06F03B2A" w14:textId="77777777"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(2) Line 24: “Compounds such as phenol, …. appeared only in HMV emissions”. These are compounds that are widely observed in vehicle emissions. Any reason for their disappearance in LMV emission? Are there any potential artifacts in the sample analysis?</w:t>
      </w:r>
    </w:p>
    <w:p w14:paraId="7297F5AA" w14:textId="77777777" w:rsidR="00A31E67" w:rsidRPr="00DC202B"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491A6D0F" w14:textId="34871148" w:rsidR="005B08D6" w:rsidRPr="005B08D6" w:rsidRDefault="00A31E67" w:rsidP="00A31E67">
      <w:pPr>
        <w:jc w:val="both"/>
        <w:rPr>
          <w:rFonts w:ascii="Times New Roman" w:hAnsi="Times New Roman" w:cs="Times New Roman"/>
          <w:sz w:val="22"/>
          <w:szCs w:val="22"/>
        </w:rPr>
      </w:pPr>
      <w:r w:rsidRPr="00DC202B">
        <w:rPr>
          <w:rFonts w:ascii="Times New Roman" w:hAnsi="Times New Roman" w:cs="Times New Roman"/>
          <w:color w:val="0000FF"/>
          <w:sz w:val="22"/>
          <w:szCs w:val="22"/>
        </w:rPr>
        <w:t xml:space="preserve">Thanks for the comment. </w:t>
      </w:r>
      <w:r w:rsidR="009F6E80" w:rsidRPr="009F6E80">
        <w:rPr>
          <w:rFonts w:ascii="Times New Roman" w:hAnsi="Times New Roman" w:cs="Times New Roman"/>
          <w:color w:val="0000FF"/>
          <w:sz w:val="22"/>
          <w:szCs w:val="22"/>
        </w:rPr>
        <w:t xml:space="preserve">We did observe chromatographic peaks of phenols from LMV exhaust, but their peak areas were significantly smaller compared to those observed in HMVs and were </w:t>
      </w:r>
      <w:r w:rsidR="009F6E80" w:rsidRPr="009F6E80">
        <w:rPr>
          <w:rFonts w:ascii="Times New Roman" w:hAnsi="Times New Roman" w:cs="Times New Roman"/>
          <w:color w:val="0000FF"/>
          <w:sz w:val="22"/>
          <w:szCs w:val="22"/>
        </w:rPr>
        <w:lastRenderedPageBreak/>
        <w:t>indistinguishable from those in background samples. Phenols reported in previous studies were also emitted by high cumulative mileage vehicles. For instance, He et al. (2022) investigated HDDVs with a service duration ranging from 2 to 6 years. Zhang et al. (2024) tested I/SVOCs from HDDVs with service duration ranging from 1 to 6 years and found weak phenol signals for newer ones. As vehicle age and mileage increase, engine combustion efficiency decreases</w:t>
      </w:r>
      <w:r w:rsidR="00607A2F" w:rsidRPr="00607A2F">
        <w:rPr>
          <w:rFonts w:ascii="Times New Roman" w:hAnsi="Times New Roman" w:cs="Times New Roman"/>
          <w:color w:val="0000FF"/>
          <w:sz w:val="22"/>
          <w:szCs w:val="22"/>
        </w:rPr>
        <w:t>, leading to higher organic emissions in I/SVOCs and thus phenol concentrations above background levels</w:t>
      </w:r>
      <w:r w:rsidR="00607A2F">
        <w:rPr>
          <w:rFonts w:ascii="Times New Roman" w:hAnsi="Times New Roman" w:cs="Times New Roman"/>
          <w:color w:val="0000FF"/>
          <w:sz w:val="22"/>
          <w:szCs w:val="22"/>
        </w:rPr>
        <w:t xml:space="preserve"> to be detected.</w:t>
      </w:r>
    </w:p>
    <w:p w14:paraId="15D6B823" w14:textId="77777777"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(3) Line 179: “</w:t>
      </w:r>
      <w:proofErr w:type="spellStart"/>
      <w:r w:rsidRPr="005B08D6">
        <w:rPr>
          <w:rFonts w:ascii="Times New Roman" w:hAnsi="Times New Roman" w:cs="Times New Roman"/>
          <w:sz w:val="22"/>
          <w:szCs w:val="22"/>
        </w:rPr>
        <w:t>Oxy-PAH&amp;Oxy-benzene</w:t>
      </w:r>
      <w:proofErr w:type="spellEnd"/>
      <w:r w:rsidRPr="005B08D6">
        <w:rPr>
          <w:rFonts w:ascii="Times New Roman" w:hAnsi="Times New Roman" w:cs="Times New Roman"/>
          <w:sz w:val="22"/>
          <w:szCs w:val="22"/>
        </w:rPr>
        <w:t>”, I don’t think the abbreviations were pre-defined. Also, what compounds specifically do they represent? I noticed the authors also separately classify “phenol” instead of grouping them into “Oxy-benzene”.</w:t>
      </w:r>
    </w:p>
    <w:p w14:paraId="1FC29E9A" w14:textId="77777777" w:rsidR="00A31E67" w:rsidRPr="00DC202B"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50FA39EC" w14:textId="1D8B5927" w:rsidR="00EE4B46"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 xml:space="preserve">Thanks for the comment. </w:t>
      </w:r>
      <w:r w:rsidR="005F0806" w:rsidRPr="005F0806">
        <w:rPr>
          <w:rFonts w:ascii="Times New Roman" w:hAnsi="Times New Roman" w:cs="Times New Roman"/>
          <w:color w:val="0000FF"/>
          <w:sz w:val="22"/>
          <w:szCs w:val="22"/>
        </w:rPr>
        <w:t xml:space="preserve">Similar abbreviations have appeared in our previous research papers </w:t>
      </w:r>
      <w:r w:rsidR="005A1740" w:rsidRPr="005A1740">
        <w:rPr>
          <w:rFonts w:ascii="Times New Roman" w:hAnsi="Times New Roman" w:cs="Times New Roman"/>
          <w:color w:val="0000FF"/>
          <w:sz w:val="22"/>
          <w:szCs w:val="22"/>
        </w:rPr>
        <w:t>(He et al., 2022</w:t>
      </w:r>
      <w:r w:rsidR="005A1740">
        <w:rPr>
          <w:rFonts w:ascii="Times New Roman" w:hAnsi="Times New Roman" w:cs="Times New Roman"/>
          <w:color w:val="0000FF"/>
          <w:sz w:val="22"/>
          <w:szCs w:val="22"/>
        </w:rPr>
        <w:t>a</w:t>
      </w:r>
      <w:r w:rsidR="005A1740" w:rsidRPr="005A1740">
        <w:rPr>
          <w:rFonts w:ascii="Times New Roman" w:hAnsi="Times New Roman" w:cs="Times New Roman"/>
          <w:color w:val="0000FF"/>
          <w:sz w:val="22"/>
          <w:szCs w:val="22"/>
        </w:rPr>
        <w:t xml:space="preserve">, </w:t>
      </w:r>
      <w:r w:rsidR="005A1740">
        <w:rPr>
          <w:rFonts w:ascii="Times New Roman" w:hAnsi="Times New Roman" w:cs="Times New Roman"/>
          <w:color w:val="0000FF"/>
          <w:sz w:val="22"/>
          <w:szCs w:val="22"/>
        </w:rPr>
        <w:t>b</w:t>
      </w:r>
      <w:r w:rsidR="005A1740" w:rsidRPr="005A1740">
        <w:rPr>
          <w:rFonts w:ascii="Times New Roman" w:hAnsi="Times New Roman" w:cs="Times New Roman"/>
          <w:color w:val="0000FF"/>
          <w:sz w:val="22"/>
          <w:szCs w:val="22"/>
        </w:rPr>
        <w:t xml:space="preserve"> 2024)</w:t>
      </w:r>
      <w:r w:rsidR="005F0806" w:rsidRPr="005F0806">
        <w:rPr>
          <w:rFonts w:ascii="Times New Roman" w:hAnsi="Times New Roman" w:cs="Times New Roman"/>
          <w:color w:val="0000FF"/>
          <w:sz w:val="22"/>
          <w:szCs w:val="22"/>
        </w:rPr>
        <w:t>, and we apologize for the author's oversight in not specifying the types of organic compounds covered by the abbreviations again in the manuscript of this study. Oxy</w:t>
      </w:r>
      <w:r w:rsidR="005F0806">
        <w:rPr>
          <w:rFonts w:ascii="Times New Roman" w:hAnsi="Times New Roman" w:cs="Times New Roman" w:hint="eastAsia"/>
          <w:color w:val="0000FF"/>
          <w:sz w:val="22"/>
          <w:szCs w:val="22"/>
        </w:rPr>
        <w:t>-</w:t>
      </w:r>
      <w:r w:rsidR="005F0806" w:rsidRPr="005F0806">
        <w:rPr>
          <w:rFonts w:ascii="Times New Roman" w:hAnsi="Times New Roman" w:cs="Times New Roman"/>
          <w:color w:val="0000FF"/>
          <w:sz w:val="22"/>
          <w:szCs w:val="22"/>
        </w:rPr>
        <w:t>PAH</w:t>
      </w:r>
      <w:r w:rsidR="005F0806">
        <w:rPr>
          <w:rFonts w:ascii="Times New Roman" w:hAnsi="Times New Roman" w:cs="Times New Roman"/>
          <w:color w:val="0000FF"/>
          <w:sz w:val="22"/>
          <w:szCs w:val="22"/>
        </w:rPr>
        <w:t xml:space="preserve"> </w:t>
      </w:r>
      <w:r w:rsidR="005F0806" w:rsidRPr="005F0806">
        <w:rPr>
          <w:rFonts w:ascii="Times New Roman" w:hAnsi="Times New Roman" w:cs="Times New Roman"/>
          <w:color w:val="0000FF"/>
          <w:sz w:val="22"/>
          <w:szCs w:val="22"/>
        </w:rPr>
        <w:t>&amp;</w:t>
      </w:r>
      <w:r w:rsidR="005F0806">
        <w:rPr>
          <w:rFonts w:ascii="Times New Roman" w:hAnsi="Times New Roman" w:cs="Times New Roman"/>
          <w:color w:val="0000FF"/>
          <w:sz w:val="22"/>
          <w:szCs w:val="22"/>
        </w:rPr>
        <w:t xml:space="preserve"> </w:t>
      </w:r>
      <w:r w:rsidR="005F0806" w:rsidRPr="005F0806">
        <w:rPr>
          <w:rFonts w:ascii="Times New Roman" w:hAnsi="Times New Roman" w:cs="Times New Roman"/>
          <w:color w:val="0000FF"/>
          <w:sz w:val="22"/>
          <w:szCs w:val="22"/>
        </w:rPr>
        <w:t>Oxy</w:t>
      </w:r>
      <w:r w:rsidR="005F0806">
        <w:rPr>
          <w:rFonts w:ascii="Times New Roman" w:hAnsi="Times New Roman" w:cs="Times New Roman" w:hint="eastAsia"/>
          <w:color w:val="0000FF"/>
          <w:sz w:val="22"/>
          <w:szCs w:val="22"/>
        </w:rPr>
        <w:t>-</w:t>
      </w:r>
      <w:r w:rsidR="005F0806" w:rsidRPr="005F0806">
        <w:rPr>
          <w:rFonts w:ascii="Times New Roman" w:hAnsi="Times New Roman" w:cs="Times New Roman"/>
          <w:color w:val="0000FF"/>
          <w:sz w:val="22"/>
          <w:szCs w:val="22"/>
        </w:rPr>
        <w:t xml:space="preserve">benzene represent all organic compounds containing benzene rings and oxygen-containing </w:t>
      </w:r>
      <w:r w:rsidR="005F0806" w:rsidRPr="00382D15">
        <w:rPr>
          <w:rFonts w:ascii="Times New Roman" w:hAnsi="Times New Roman" w:cs="Times New Roman"/>
          <w:color w:val="0000FF"/>
          <w:sz w:val="22"/>
          <w:szCs w:val="22"/>
        </w:rPr>
        <w:t xml:space="preserve">groups, except for phenols </w:t>
      </w:r>
      <w:r w:rsidR="0020156A" w:rsidRPr="00A15BAF">
        <w:rPr>
          <w:rFonts w:ascii="Times New Roman" w:hAnsi="Times New Roman" w:cs="Times New Roman"/>
          <w:color w:val="0000FF"/>
          <w:sz w:val="22"/>
          <w:szCs w:val="22"/>
        </w:rPr>
        <w:t>whose</w:t>
      </w:r>
      <w:r w:rsidR="005F0806" w:rsidRPr="00382D15">
        <w:rPr>
          <w:rFonts w:ascii="Times New Roman" w:hAnsi="Times New Roman" w:cs="Times New Roman"/>
          <w:color w:val="0000FF"/>
          <w:sz w:val="22"/>
          <w:szCs w:val="22"/>
        </w:rPr>
        <w:t xml:space="preserve"> hydroxyl group is directly connected to the benzene ring. </w:t>
      </w:r>
      <w:r w:rsidR="00D569A8" w:rsidRPr="00382D15">
        <w:rPr>
          <w:rFonts w:ascii="Times New Roman" w:hAnsi="Times New Roman" w:cs="Times New Roman"/>
          <w:color w:val="0000FF"/>
          <w:sz w:val="22"/>
          <w:szCs w:val="22"/>
        </w:rPr>
        <w:t>We</w:t>
      </w:r>
      <w:r w:rsidR="00D569A8">
        <w:rPr>
          <w:rFonts w:ascii="Times New Roman" w:hAnsi="Times New Roman" w:cs="Times New Roman"/>
          <w:color w:val="0000FF"/>
          <w:sz w:val="22"/>
          <w:szCs w:val="22"/>
        </w:rPr>
        <w:t xml:space="preserve"> supplement a </w:t>
      </w:r>
      <w:r w:rsidR="005F0806" w:rsidRPr="005F0806">
        <w:rPr>
          <w:rFonts w:ascii="Times New Roman" w:hAnsi="Times New Roman" w:cs="Times New Roman"/>
          <w:color w:val="0000FF"/>
          <w:sz w:val="22"/>
          <w:szCs w:val="22"/>
        </w:rPr>
        <w:t xml:space="preserve">detailed description of all organic category names </w:t>
      </w:r>
      <w:r w:rsidR="00D569A8">
        <w:rPr>
          <w:rFonts w:ascii="Times New Roman" w:hAnsi="Times New Roman" w:cs="Times New Roman"/>
          <w:color w:val="0000FF"/>
          <w:sz w:val="22"/>
          <w:szCs w:val="22"/>
        </w:rPr>
        <w:t xml:space="preserve">as </w:t>
      </w:r>
      <w:r w:rsidR="002228B8">
        <w:rPr>
          <w:rFonts w:ascii="Times New Roman" w:hAnsi="Times New Roman" w:cs="Times New Roman"/>
          <w:color w:val="0000FF"/>
          <w:sz w:val="22"/>
          <w:szCs w:val="22"/>
        </w:rPr>
        <w:t>SI-1</w:t>
      </w:r>
      <w:r w:rsidR="00EE4B46">
        <w:rPr>
          <w:rFonts w:ascii="Times New Roman" w:hAnsi="Times New Roman" w:cs="Times New Roman"/>
          <w:color w:val="0000FF"/>
          <w:sz w:val="22"/>
          <w:szCs w:val="22"/>
        </w:rPr>
        <w:t xml:space="preserve"> </w:t>
      </w:r>
      <w:r w:rsidR="00D569A8">
        <w:rPr>
          <w:rFonts w:ascii="Times New Roman" w:hAnsi="Times New Roman" w:cs="Times New Roman"/>
          <w:color w:val="0000FF"/>
          <w:sz w:val="22"/>
          <w:szCs w:val="22"/>
        </w:rPr>
        <w:t>in supporting information (SI)</w:t>
      </w:r>
      <w:r w:rsidR="00EE4B46">
        <w:rPr>
          <w:rFonts w:ascii="Times New Roman" w:hAnsi="Times New Roman" w:cs="Times New Roman"/>
          <w:color w:val="0000FF"/>
          <w:sz w:val="22"/>
          <w:szCs w:val="22"/>
        </w:rPr>
        <w:t>.</w:t>
      </w:r>
    </w:p>
    <w:p w14:paraId="1A47C61C" w14:textId="02727EF3" w:rsidR="001B5FA2" w:rsidRDefault="001B5FA2" w:rsidP="00A31E67">
      <w:pPr>
        <w:jc w:val="both"/>
        <w:rPr>
          <w:rFonts w:ascii="Times New Roman" w:hAnsi="Times New Roman" w:cs="Times New Roman"/>
          <w:color w:val="0000FF"/>
          <w:sz w:val="22"/>
          <w:szCs w:val="22"/>
        </w:rPr>
      </w:pPr>
      <w:bookmarkStart w:id="0" w:name="_Hlk186225212"/>
      <w:r>
        <w:rPr>
          <w:rFonts w:ascii="Times New Roman" w:hAnsi="Times New Roman" w:cs="Times New Roman"/>
          <w:color w:val="0000FF"/>
          <w:sz w:val="22"/>
          <w:szCs w:val="22"/>
        </w:rPr>
        <w:t>“</w:t>
      </w:r>
      <w:r w:rsidRPr="006A1D8C">
        <w:rPr>
          <w:rFonts w:ascii="Times New Roman" w:hAnsi="Times New Roman" w:cs="Times New Roman"/>
          <w:b/>
          <w:bCs/>
          <w:color w:val="FF0000"/>
          <w:sz w:val="22"/>
          <w:szCs w:val="22"/>
        </w:rPr>
        <w:t>SI-1. Description of all organic category names</w:t>
      </w:r>
      <w:r>
        <w:rPr>
          <w:rFonts w:ascii="Times New Roman" w:hAnsi="Times New Roman" w:cs="Times New Roman"/>
          <w:b/>
          <w:bCs/>
          <w:color w:val="FF0000"/>
          <w:sz w:val="22"/>
          <w:szCs w:val="22"/>
        </w:rPr>
        <w:t>.</w:t>
      </w:r>
    </w:p>
    <w:p w14:paraId="58CA1C44" w14:textId="3D775029" w:rsidR="001B5FA2" w:rsidRPr="009C6792" w:rsidRDefault="001B5FA2" w:rsidP="001B5FA2">
      <w:pPr>
        <w:jc w:val="both"/>
        <w:rPr>
          <w:rFonts w:ascii="Times New Roman" w:hAnsi="Times New Roman" w:cs="Times New Roman"/>
          <w:color w:val="FF0000"/>
          <w:sz w:val="22"/>
          <w:szCs w:val="22"/>
        </w:rPr>
      </w:pPr>
      <w:r w:rsidRPr="009C6792">
        <w:rPr>
          <w:rFonts w:ascii="Times New Roman" w:hAnsi="Times New Roman" w:cs="Times New Roman"/>
          <w:color w:val="FF0000"/>
          <w:sz w:val="22"/>
          <w:szCs w:val="22"/>
        </w:rPr>
        <w:t xml:space="preserve">Alkane: n-alkane and </w:t>
      </w:r>
      <w:proofErr w:type="spellStart"/>
      <w:r w:rsidRPr="009C6792">
        <w:rPr>
          <w:rFonts w:ascii="Times New Roman" w:hAnsi="Times New Roman" w:cs="Times New Roman"/>
          <w:color w:val="FF0000"/>
          <w:sz w:val="22"/>
          <w:szCs w:val="22"/>
        </w:rPr>
        <w:t>i</w:t>
      </w:r>
      <w:proofErr w:type="spellEnd"/>
      <w:r w:rsidRPr="009C6792">
        <w:rPr>
          <w:rFonts w:ascii="Times New Roman" w:hAnsi="Times New Roman" w:cs="Times New Roman"/>
          <w:color w:val="FF0000"/>
          <w:sz w:val="22"/>
          <w:szCs w:val="22"/>
        </w:rPr>
        <w:t>-alkane. Alcohol: aliphatic alcohol. Phenol: organics containing one benzene ring and a hydrocarbon group directly attached to the benzene ring. Carbonyls: aliphatic ketone and aliphatic aldehyde. Acid: aliphatic acid. Oxy-PAH &amp; Oxy-benzene: organic compounds containing benzene rings and oxygen-containing groups, except for phenols whose hydroxyl group is directly connected to one benzene ring. PAH_2rings: PAH with 2 benzene rings. PAH_3rings: PAH with 3 benzene rings. PAH_4rings: PAH with 4 benzene rings. Alkene: organics containing carbon double bond(s) without any other function groups. Cycloalkane: organics containing a saturated carbon ring without any other function groups.</w:t>
      </w:r>
    </w:p>
    <w:bookmarkEnd w:id="0"/>
    <w:p w14:paraId="6478D990" w14:textId="300DBE3C" w:rsidR="001B5FA2" w:rsidRDefault="001B5FA2" w:rsidP="00A31E67">
      <w:pPr>
        <w:jc w:val="both"/>
        <w:rPr>
          <w:rFonts w:ascii="Times New Roman" w:hAnsi="Times New Roman" w:cs="Times New Roman"/>
          <w:color w:val="0000FF"/>
          <w:sz w:val="22"/>
          <w:szCs w:val="22"/>
        </w:rPr>
      </w:pPr>
      <w:r>
        <w:rPr>
          <w:rFonts w:ascii="Times New Roman" w:hAnsi="Times New Roman" w:cs="Times New Roman"/>
          <w:color w:val="0000FF"/>
          <w:sz w:val="22"/>
          <w:szCs w:val="22"/>
        </w:rPr>
        <w:t>”</w:t>
      </w:r>
    </w:p>
    <w:p w14:paraId="12E4AA4E" w14:textId="323DD93C" w:rsidR="00DB3A52" w:rsidRPr="0020156A" w:rsidRDefault="0020156A" w:rsidP="00DB3A52">
      <w:pPr>
        <w:jc w:val="both"/>
        <w:rPr>
          <w:rFonts w:ascii="Times New Roman" w:hAnsi="Times New Roman" w:cs="Times New Roman"/>
          <w:color w:val="0000FF"/>
          <w:sz w:val="22"/>
          <w:szCs w:val="22"/>
        </w:rPr>
      </w:pPr>
      <w:r w:rsidRPr="0020156A">
        <w:rPr>
          <w:rFonts w:ascii="Times New Roman" w:hAnsi="Times New Roman" w:cs="Times New Roman"/>
          <w:color w:val="0000FF"/>
          <w:sz w:val="22"/>
          <w:szCs w:val="22"/>
        </w:rPr>
        <w:t>Please refer to line</w:t>
      </w:r>
      <w:r w:rsidRPr="00382D15">
        <w:rPr>
          <w:rFonts w:ascii="Times New Roman" w:hAnsi="Times New Roman" w:cs="Times New Roman"/>
          <w:color w:val="0000FF"/>
          <w:sz w:val="22"/>
          <w:szCs w:val="22"/>
        </w:rPr>
        <w:t xml:space="preserve">s </w:t>
      </w:r>
      <w:r w:rsidR="00382D15" w:rsidRPr="009C6792">
        <w:rPr>
          <w:rFonts w:ascii="Times New Roman" w:hAnsi="Times New Roman" w:cs="Times New Roman"/>
          <w:color w:val="0000FF"/>
          <w:sz w:val="22"/>
          <w:szCs w:val="22"/>
        </w:rPr>
        <w:t>24</w:t>
      </w:r>
      <w:r w:rsidRPr="009C6792">
        <w:rPr>
          <w:rFonts w:ascii="Times New Roman" w:hAnsi="Times New Roman" w:cs="Times New Roman"/>
          <w:color w:val="0000FF"/>
          <w:sz w:val="22"/>
          <w:szCs w:val="22"/>
        </w:rPr>
        <w:t>-</w:t>
      </w:r>
      <w:r w:rsidR="00382D15" w:rsidRPr="00382D15">
        <w:rPr>
          <w:rFonts w:ascii="Times New Roman" w:hAnsi="Times New Roman" w:cs="Times New Roman"/>
          <w:color w:val="0000FF"/>
          <w:sz w:val="22"/>
          <w:szCs w:val="22"/>
        </w:rPr>
        <w:t>32</w:t>
      </w:r>
      <w:r w:rsidR="00382D15" w:rsidRPr="0020156A">
        <w:rPr>
          <w:rFonts w:ascii="Times New Roman" w:hAnsi="Times New Roman" w:cs="Times New Roman"/>
          <w:color w:val="0000FF"/>
          <w:sz w:val="22"/>
          <w:szCs w:val="22"/>
        </w:rPr>
        <w:t xml:space="preserve"> </w:t>
      </w:r>
      <w:r w:rsidRPr="0020156A">
        <w:rPr>
          <w:rFonts w:ascii="Times New Roman" w:hAnsi="Times New Roman" w:cs="Times New Roman"/>
          <w:color w:val="0000FF"/>
          <w:sz w:val="22"/>
          <w:szCs w:val="22"/>
        </w:rPr>
        <w:t xml:space="preserve">in the </w:t>
      </w:r>
      <w:r>
        <w:rPr>
          <w:rFonts w:ascii="Times New Roman" w:hAnsi="Times New Roman" w:cs="Times New Roman"/>
          <w:color w:val="0000FF"/>
          <w:sz w:val="22"/>
          <w:szCs w:val="22"/>
        </w:rPr>
        <w:t>SI</w:t>
      </w:r>
      <w:r w:rsidRPr="0020156A">
        <w:rPr>
          <w:rFonts w:ascii="Times New Roman" w:hAnsi="Times New Roman" w:cs="Times New Roman"/>
          <w:color w:val="0000FF"/>
          <w:sz w:val="22"/>
          <w:szCs w:val="22"/>
        </w:rPr>
        <w:t xml:space="preserve"> for details.</w:t>
      </w:r>
    </w:p>
    <w:p w14:paraId="0DB16E73" w14:textId="77777777"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(4) Line 190: the emission factors of ISVOCs between LMV and HMV differs quite a lot according to Figure 2a. And according to Figure 3, the fractional contributions from different components are also different for HMV and LMV. Hence, I’m not sure it is appropriate to present the average volatility distributions of I/SVOCs from the entire fleet. Could Figure 1 be separated into LMV and HMV?</w:t>
      </w:r>
    </w:p>
    <w:p w14:paraId="4AE8CE10" w14:textId="77777777" w:rsidR="00A31E67" w:rsidRPr="00DC202B"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6AE6F6DC" w14:textId="15F65F54" w:rsidR="005B08D6" w:rsidRDefault="00EA3FC4" w:rsidP="00A31E67">
      <w:pPr>
        <w:jc w:val="both"/>
        <w:rPr>
          <w:rFonts w:ascii="Times New Roman" w:hAnsi="Times New Roman" w:cs="Times New Roman"/>
          <w:color w:val="0000FF"/>
          <w:sz w:val="22"/>
          <w:szCs w:val="22"/>
        </w:rPr>
      </w:pPr>
      <w:r>
        <w:rPr>
          <w:rFonts w:ascii="Times New Roman" w:hAnsi="Times New Roman" w:cs="Times New Roman"/>
          <w:color w:val="0000FF"/>
          <w:sz w:val="22"/>
          <w:szCs w:val="22"/>
        </w:rPr>
        <w:t xml:space="preserve">Suggestion taken. </w:t>
      </w:r>
      <w:r w:rsidR="00C9515C" w:rsidRPr="00C9515C">
        <w:rPr>
          <w:rFonts w:ascii="Times New Roman" w:hAnsi="Times New Roman" w:cs="Times New Roman"/>
          <w:color w:val="0000FF"/>
          <w:sz w:val="22"/>
          <w:szCs w:val="22"/>
        </w:rPr>
        <w:t>We divide</w:t>
      </w:r>
      <w:r w:rsidR="00BE4037">
        <w:rPr>
          <w:rFonts w:ascii="Times New Roman" w:hAnsi="Times New Roman" w:cs="Times New Roman"/>
          <w:color w:val="0000FF"/>
          <w:sz w:val="22"/>
          <w:szCs w:val="22"/>
        </w:rPr>
        <w:t>d</w:t>
      </w:r>
      <w:r w:rsidR="00C9515C" w:rsidRPr="00C9515C">
        <w:rPr>
          <w:rFonts w:ascii="Times New Roman" w:hAnsi="Times New Roman" w:cs="Times New Roman"/>
          <w:color w:val="0000FF"/>
          <w:sz w:val="22"/>
          <w:szCs w:val="22"/>
        </w:rPr>
        <w:t xml:space="preserve"> Figure 1 into LMV and HMV results for plotting, rather than taking the average of the two</w:t>
      </w:r>
      <w:r w:rsidR="007A21CC">
        <w:rPr>
          <w:rFonts w:ascii="Times New Roman" w:hAnsi="Times New Roman" w:cs="Times New Roman" w:hint="eastAsia"/>
          <w:color w:val="0000FF"/>
          <w:sz w:val="22"/>
          <w:szCs w:val="22"/>
        </w:rPr>
        <w:t>,</w:t>
      </w:r>
      <w:r w:rsidR="007A21CC">
        <w:rPr>
          <w:rFonts w:ascii="Times New Roman" w:hAnsi="Times New Roman" w:cs="Times New Roman"/>
          <w:color w:val="0000FF"/>
          <w:sz w:val="22"/>
          <w:szCs w:val="22"/>
        </w:rPr>
        <w:t xml:space="preserve"> as</w:t>
      </w:r>
      <w:r w:rsidR="00C9515C" w:rsidRPr="00C9515C">
        <w:rPr>
          <w:rFonts w:ascii="Times New Roman" w:hAnsi="Times New Roman" w:cs="Times New Roman"/>
          <w:color w:val="0000FF"/>
          <w:sz w:val="22"/>
          <w:szCs w:val="22"/>
        </w:rPr>
        <w:t xml:space="preserve"> shown in the figure below</w:t>
      </w:r>
      <w:r w:rsidR="007A21CC">
        <w:rPr>
          <w:rFonts w:ascii="Times New Roman" w:hAnsi="Times New Roman" w:cs="Times New Roman"/>
          <w:color w:val="0000FF"/>
          <w:sz w:val="22"/>
          <w:szCs w:val="22"/>
        </w:rPr>
        <w:t xml:space="preserve">. </w:t>
      </w:r>
      <w:r w:rsidR="00BE4037">
        <w:rPr>
          <w:rFonts w:ascii="Times New Roman" w:hAnsi="Times New Roman" w:cs="Times New Roman"/>
          <w:color w:val="0000FF"/>
          <w:sz w:val="22"/>
          <w:szCs w:val="22"/>
        </w:rPr>
        <w:t>Figure (a) was the a</w:t>
      </w:r>
      <w:r w:rsidR="00BE4037" w:rsidRPr="00BE4037">
        <w:rPr>
          <w:rFonts w:ascii="Times New Roman" w:hAnsi="Times New Roman" w:cs="Times New Roman"/>
          <w:color w:val="0000FF"/>
          <w:sz w:val="22"/>
          <w:szCs w:val="22"/>
        </w:rPr>
        <w:t xml:space="preserve">verage volatility distribution of I/SVOCs from the </w:t>
      </w:r>
      <w:r w:rsidR="00BE4037">
        <w:rPr>
          <w:rFonts w:ascii="Times New Roman" w:hAnsi="Times New Roman" w:cs="Times New Roman"/>
          <w:color w:val="0000FF"/>
          <w:sz w:val="22"/>
          <w:szCs w:val="22"/>
        </w:rPr>
        <w:t>LMVs, and (b) from HMVs</w:t>
      </w:r>
      <w:r w:rsidR="00BE4037" w:rsidRPr="00BE4037">
        <w:rPr>
          <w:rFonts w:ascii="Times New Roman" w:hAnsi="Times New Roman" w:cs="Times New Roman"/>
          <w:color w:val="0000FF"/>
          <w:sz w:val="22"/>
          <w:szCs w:val="22"/>
        </w:rPr>
        <w:t xml:space="preserve">. Different colored bars represent </w:t>
      </w:r>
      <w:r w:rsidR="00BE4037" w:rsidRPr="00BE4037">
        <w:rPr>
          <w:rFonts w:ascii="Times New Roman" w:hAnsi="Times New Roman" w:cs="Times New Roman"/>
          <w:color w:val="0000FF"/>
          <w:sz w:val="22"/>
          <w:szCs w:val="22"/>
        </w:rPr>
        <w:lastRenderedPageBreak/>
        <w:t>different organic groups.</w:t>
      </w:r>
      <w:r w:rsidR="00BE4037">
        <w:rPr>
          <w:rFonts w:ascii="Times New Roman" w:hAnsi="Times New Roman" w:cs="Times New Roman"/>
          <w:color w:val="0000FF"/>
          <w:sz w:val="22"/>
          <w:szCs w:val="22"/>
        </w:rPr>
        <w:t xml:space="preserve"> The highest I/SVOC EFs for LMVs were in bin 3 and bin 2, reaching 5 </w:t>
      </w:r>
      <w:r w:rsidR="00BE4037">
        <w:rPr>
          <w:rFonts w:ascii="Times New Roman" w:hAnsi="Times New Roman" w:cs="Times New Roman" w:hint="eastAsia"/>
          <w:color w:val="0000FF"/>
          <w:sz w:val="22"/>
          <w:szCs w:val="22"/>
        </w:rPr>
        <w:t>mg</w:t>
      </w:r>
      <w:r w:rsidR="00BE4037">
        <w:rPr>
          <w:rFonts w:ascii="Times New Roman" w:hAnsi="Times New Roman" w:cs="Times New Roman"/>
          <w:color w:val="0000FF"/>
          <w:sz w:val="22"/>
          <w:szCs w:val="22"/>
        </w:rPr>
        <w:t>∙km</w:t>
      </w:r>
      <w:r w:rsidR="00BE4037" w:rsidRPr="00BE4037">
        <w:rPr>
          <w:rFonts w:ascii="Times New Roman" w:hAnsi="Times New Roman" w:cs="Times New Roman"/>
          <w:color w:val="0000FF"/>
          <w:sz w:val="22"/>
          <w:szCs w:val="22"/>
          <w:vertAlign w:val="superscript"/>
        </w:rPr>
        <w:t>-1</w:t>
      </w:r>
      <w:r w:rsidR="00BE4037">
        <w:rPr>
          <w:rFonts w:ascii="Times New Roman" w:hAnsi="Times New Roman" w:cs="Times New Roman"/>
          <w:color w:val="0000FF"/>
          <w:sz w:val="22"/>
          <w:szCs w:val="22"/>
        </w:rPr>
        <w:t xml:space="preserve"> and 4 </w:t>
      </w:r>
      <w:r w:rsidR="00C05EC0">
        <w:rPr>
          <w:rFonts w:ascii="Times New Roman" w:hAnsi="Times New Roman" w:cs="Times New Roman" w:hint="eastAsia"/>
          <w:color w:val="0000FF"/>
          <w:sz w:val="22"/>
          <w:szCs w:val="22"/>
        </w:rPr>
        <w:t>mg</w:t>
      </w:r>
      <w:r w:rsidR="00C05EC0">
        <w:rPr>
          <w:rFonts w:ascii="Times New Roman" w:hAnsi="Times New Roman" w:cs="Times New Roman"/>
          <w:color w:val="0000FF"/>
          <w:sz w:val="22"/>
          <w:szCs w:val="22"/>
        </w:rPr>
        <w:t>∙km</w:t>
      </w:r>
      <w:r w:rsidR="00C05EC0" w:rsidRPr="00BE4037">
        <w:rPr>
          <w:rFonts w:ascii="Times New Roman" w:hAnsi="Times New Roman" w:cs="Times New Roman"/>
          <w:color w:val="0000FF"/>
          <w:sz w:val="22"/>
          <w:szCs w:val="22"/>
          <w:vertAlign w:val="superscript"/>
        </w:rPr>
        <w:t>-1</w:t>
      </w:r>
      <w:r w:rsidR="00C05EC0">
        <w:rPr>
          <w:rFonts w:ascii="Times New Roman" w:hAnsi="Times New Roman" w:cs="Times New Roman"/>
          <w:color w:val="0000FF"/>
          <w:sz w:val="22"/>
          <w:szCs w:val="22"/>
        </w:rPr>
        <w:t xml:space="preserve">; but for HMVs were in bin 6 and bin 5, reaching 37 </w:t>
      </w:r>
      <w:r w:rsidR="00C05EC0">
        <w:rPr>
          <w:rFonts w:ascii="Times New Roman" w:hAnsi="Times New Roman" w:cs="Times New Roman" w:hint="eastAsia"/>
          <w:color w:val="0000FF"/>
          <w:sz w:val="22"/>
          <w:szCs w:val="22"/>
        </w:rPr>
        <w:t>mg</w:t>
      </w:r>
      <w:r w:rsidR="00C05EC0">
        <w:rPr>
          <w:rFonts w:ascii="Times New Roman" w:hAnsi="Times New Roman" w:cs="Times New Roman"/>
          <w:color w:val="0000FF"/>
          <w:sz w:val="22"/>
          <w:szCs w:val="22"/>
        </w:rPr>
        <w:t>∙km</w:t>
      </w:r>
      <w:r w:rsidR="00C05EC0" w:rsidRPr="00BE4037">
        <w:rPr>
          <w:rFonts w:ascii="Times New Roman" w:hAnsi="Times New Roman" w:cs="Times New Roman"/>
          <w:color w:val="0000FF"/>
          <w:sz w:val="22"/>
          <w:szCs w:val="22"/>
          <w:vertAlign w:val="superscript"/>
        </w:rPr>
        <w:t>-1</w:t>
      </w:r>
      <w:r w:rsidR="00C05EC0">
        <w:rPr>
          <w:rFonts w:ascii="Times New Roman" w:hAnsi="Times New Roman" w:cs="Times New Roman"/>
          <w:color w:val="0000FF"/>
          <w:sz w:val="22"/>
          <w:szCs w:val="22"/>
        </w:rPr>
        <w:t xml:space="preserve"> and 31 </w:t>
      </w:r>
      <w:r w:rsidR="00C05EC0">
        <w:rPr>
          <w:rFonts w:ascii="Times New Roman" w:hAnsi="Times New Roman" w:cs="Times New Roman" w:hint="eastAsia"/>
          <w:color w:val="0000FF"/>
          <w:sz w:val="22"/>
          <w:szCs w:val="22"/>
        </w:rPr>
        <w:t>mg</w:t>
      </w:r>
      <w:r w:rsidR="00C05EC0">
        <w:rPr>
          <w:rFonts w:ascii="Times New Roman" w:hAnsi="Times New Roman" w:cs="Times New Roman"/>
          <w:color w:val="0000FF"/>
          <w:sz w:val="22"/>
          <w:szCs w:val="22"/>
        </w:rPr>
        <w:t>∙km</w:t>
      </w:r>
      <w:r w:rsidR="00C05EC0" w:rsidRPr="00BE4037">
        <w:rPr>
          <w:rFonts w:ascii="Times New Roman" w:hAnsi="Times New Roman" w:cs="Times New Roman"/>
          <w:color w:val="0000FF"/>
          <w:sz w:val="22"/>
          <w:szCs w:val="22"/>
          <w:vertAlign w:val="superscript"/>
        </w:rPr>
        <w:t>-1</w:t>
      </w:r>
      <w:r w:rsidR="00C05EC0">
        <w:rPr>
          <w:rFonts w:ascii="Times New Roman" w:hAnsi="Times New Roman" w:cs="Times New Roman" w:hint="eastAsia"/>
          <w:color w:val="0000FF"/>
          <w:sz w:val="22"/>
          <w:szCs w:val="22"/>
        </w:rPr>
        <w:t>,</w:t>
      </w:r>
      <w:r w:rsidR="00C05EC0">
        <w:rPr>
          <w:rFonts w:ascii="Times New Roman" w:hAnsi="Times New Roman" w:cs="Times New Roman"/>
          <w:color w:val="0000FF"/>
          <w:sz w:val="22"/>
          <w:szCs w:val="22"/>
        </w:rPr>
        <w:t xml:space="preserve"> respectively. The I/SVOCs they emitted are mainly IVOCs.</w:t>
      </w:r>
    </w:p>
    <w:p w14:paraId="3BBF0CDC" w14:textId="09C3A6F2" w:rsidR="00C05EC0" w:rsidRDefault="00C05EC0" w:rsidP="00A31E67">
      <w:pPr>
        <w:jc w:val="both"/>
        <w:rPr>
          <w:rFonts w:ascii="Times New Roman" w:hAnsi="Times New Roman" w:cs="Times New Roman"/>
          <w:color w:val="0000FF"/>
          <w:sz w:val="22"/>
          <w:szCs w:val="22"/>
        </w:rPr>
      </w:pPr>
      <w:r>
        <w:rPr>
          <w:rFonts w:ascii="Times New Roman" w:hAnsi="Times New Roman" w:cs="Times New Roman" w:hint="eastAsia"/>
          <w:color w:val="0000FF"/>
          <w:sz w:val="22"/>
          <w:szCs w:val="22"/>
        </w:rPr>
        <w:t>T</w:t>
      </w:r>
      <w:r>
        <w:rPr>
          <w:rFonts w:ascii="Times New Roman" w:hAnsi="Times New Roman" w:cs="Times New Roman"/>
          <w:color w:val="0000FF"/>
          <w:sz w:val="22"/>
          <w:szCs w:val="22"/>
        </w:rPr>
        <w:t>he information in this modified figure overlap</w:t>
      </w:r>
      <w:r w:rsidR="001122E8">
        <w:rPr>
          <w:rFonts w:ascii="Times New Roman" w:hAnsi="Times New Roman" w:cs="Times New Roman"/>
          <w:color w:val="0000FF"/>
          <w:sz w:val="22"/>
          <w:szCs w:val="22"/>
        </w:rPr>
        <w:t>ped</w:t>
      </w:r>
      <w:r>
        <w:rPr>
          <w:rFonts w:ascii="Times New Roman" w:hAnsi="Times New Roman" w:cs="Times New Roman"/>
          <w:color w:val="0000FF"/>
          <w:sz w:val="22"/>
          <w:szCs w:val="22"/>
        </w:rPr>
        <w:t xml:space="preserve"> with Figure 3 in the main context (line 253)</w:t>
      </w:r>
      <w:r w:rsidR="001122E8">
        <w:rPr>
          <w:rFonts w:ascii="Times New Roman" w:hAnsi="Times New Roman" w:cs="Times New Roman"/>
          <w:color w:val="0000FF"/>
          <w:sz w:val="22"/>
          <w:szCs w:val="22"/>
        </w:rPr>
        <w:t xml:space="preserve">, and thus this modified figure was placed in the SI as Fig. </w:t>
      </w:r>
      <w:r w:rsidR="00382D15">
        <w:rPr>
          <w:rFonts w:ascii="Times New Roman" w:hAnsi="Times New Roman" w:cs="Times New Roman"/>
          <w:color w:val="0000FF"/>
          <w:sz w:val="22"/>
          <w:szCs w:val="22"/>
        </w:rPr>
        <w:t>S4</w:t>
      </w:r>
      <w:r w:rsidR="001122E8">
        <w:rPr>
          <w:rFonts w:ascii="Times New Roman" w:hAnsi="Times New Roman" w:cs="Times New Roman"/>
          <w:color w:val="0000FF"/>
          <w:sz w:val="22"/>
          <w:szCs w:val="22"/>
        </w:rPr>
        <w:t xml:space="preserve">. The original Fig. 1 in line 190 of the </w:t>
      </w:r>
      <w:r w:rsidR="006E2A9B">
        <w:rPr>
          <w:rFonts w:ascii="Times New Roman" w:hAnsi="Times New Roman" w:cs="Times New Roman"/>
          <w:color w:val="0000FF"/>
          <w:sz w:val="22"/>
          <w:szCs w:val="22"/>
        </w:rPr>
        <w:t>manuscript</w:t>
      </w:r>
      <w:r w:rsidR="001122E8">
        <w:rPr>
          <w:rFonts w:ascii="Times New Roman" w:hAnsi="Times New Roman" w:cs="Times New Roman"/>
          <w:color w:val="0000FF"/>
          <w:sz w:val="22"/>
          <w:szCs w:val="22"/>
        </w:rPr>
        <w:t xml:space="preserve"> has been deleted, and other figure numbers and </w:t>
      </w:r>
      <w:r w:rsidR="006E2A9B">
        <w:rPr>
          <w:rFonts w:ascii="Times New Roman" w:hAnsi="Times New Roman" w:cs="Times New Roman"/>
          <w:color w:val="0000FF"/>
          <w:sz w:val="22"/>
          <w:szCs w:val="22"/>
        </w:rPr>
        <w:t xml:space="preserve">figure references in the main text have been modified. The </w:t>
      </w:r>
      <w:r w:rsidR="001122E8">
        <w:rPr>
          <w:rFonts w:ascii="Times New Roman" w:hAnsi="Times New Roman" w:cs="Times New Roman"/>
          <w:color w:val="0000FF"/>
          <w:sz w:val="22"/>
          <w:szCs w:val="22"/>
        </w:rPr>
        <w:t>SI w</w:t>
      </w:r>
      <w:r w:rsidR="006E2A9B">
        <w:rPr>
          <w:rFonts w:ascii="Times New Roman" w:hAnsi="Times New Roman" w:cs="Times New Roman"/>
          <w:color w:val="0000FF"/>
          <w:sz w:val="22"/>
          <w:szCs w:val="22"/>
        </w:rPr>
        <w:t>as</w:t>
      </w:r>
      <w:r w:rsidR="001122E8">
        <w:rPr>
          <w:rFonts w:ascii="Times New Roman" w:hAnsi="Times New Roman" w:cs="Times New Roman"/>
          <w:color w:val="0000FF"/>
          <w:sz w:val="22"/>
          <w:szCs w:val="22"/>
        </w:rPr>
        <w:t xml:space="preserve"> modified as follows:</w:t>
      </w:r>
    </w:p>
    <w:p w14:paraId="7E647CE5" w14:textId="3B6B8343" w:rsidR="001122E8" w:rsidRDefault="006E2A9B" w:rsidP="00A31E67">
      <w:pPr>
        <w:jc w:val="both"/>
        <w:rPr>
          <w:rFonts w:ascii="Times New Roman" w:hAnsi="Times New Roman" w:cs="Times New Roman"/>
          <w:color w:val="0000FF"/>
          <w:sz w:val="22"/>
          <w:szCs w:val="22"/>
        </w:rPr>
      </w:pPr>
      <w:r>
        <w:rPr>
          <w:rFonts w:ascii="Times New Roman" w:hAnsi="Times New Roman" w:cs="Times New Roman"/>
          <w:color w:val="0000FF"/>
          <w:sz w:val="22"/>
          <w:szCs w:val="22"/>
        </w:rPr>
        <w:t>“</w:t>
      </w:r>
    </w:p>
    <w:p w14:paraId="3810FDB3" w14:textId="0043CF9F" w:rsidR="00C9515C" w:rsidRPr="006E2A9B" w:rsidRDefault="00BE4037" w:rsidP="00A00652">
      <w:pPr>
        <w:jc w:val="center"/>
        <w:rPr>
          <w:rFonts w:ascii="Times New Roman" w:hAnsi="Times New Roman" w:cs="Times New Roman"/>
          <w:color w:val="FF0000"/>
          <w:sz w:val="22"/>
          <w:szCs w:val="22"/>
        </w:rPr>
      </w:pPr>
      <w:bookmarkStart w:id="1" w:name="_Hlk186225406"/>
      <w:r w:rsidRPr="006E2A9B">
        <w:rPr>
          <w:noProof/>
          <w:color w:val="FF0000"/>
          <w:sz w:val="21"/>
          <w:szCs w:val="21"/>
        </w:rPr>
        <w:drawing>
          <wp:inline distT="0" distB="0" distL="0" distR="0" wp14:anchorId="5145E1C7" wp14:editId="03611088">
            <wp:extent cx="5486400" cy="1976755"/>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8"/>
                    <a:stretch>
                      <a:fillRect/>
                    </a:stretch>
                  </pic:blipFill>
                  <pic:spPr>
                    <a:xfrm>
                      <a:off x="0" y="0"/>
                      <a:ext cx="5486400" cy="1976755"/>
                    </a:xfrm>
                    <a:prstGeom prst="rect">
                      <a:avLst/>
                    </a:prstGeom>
                  </pic:spPr>
                </pic:pic>
              </a:graphicData>
            </a:graphic>
          </wp:inline>
        </w:drawing>
      </w:r>
    </w:p>
    <w:p w14:paraId="4480A928" w14:textId="31E844B7" w:rsidR="006E2A9B" w:rsidRPr="006E2A9B" w:rsidRDefault="006E2A9B" w:rsidP="00A00652">
      <w:pPr>
        <w:jc w:val="center"/>
        <w:rPr>
          <w:rFonts w:ascii="Times New Roman" w:hAnsi="Times New Roman" w:cs="Times New Roman"/>
          <w:color w:val="FF0000"/>
          <w:sz w:val="22"/>
          <w:szCs w:val="22"/>
        </w:rPr>
      </w:pPr>
      <w:r w:rsidRPr="006E2A9B">
        <w:rPr>
          <w:rFonts w:ascii="Times New Roman" w:hAnsi="Times New Roman" w:cs="Times New Roman" w:hint="eastAsia"/>
          <w:color w:val="FF0000"/>
          <w:sz w:val="22"/>
          <w:szCs w:val="22"/>
        </w:rPr>
        <w:t>F</w:t>
      </w:r>
      <w:r w:rsidRPr="006E2A9B">
        <w:rPr>
          <w:rFonts w:ascii="Times New Roman" w:hAnsi="Times New Roman" w:cs="Times New Roman"/>
          <w:color w:val="FF0000"/>
          <w:sz w:val="22"/>
          <w:szCs w:val="22"/>
        </w:rPr>
        <w:t xml:space="preserve">ig. </w:t>
      </w:r>
      <w:r w:rsidR="00382D15" w:rsidRPr="006E2A9B">
        <w:rPr>
          <w:rFonts w:ascii="Times New Roman" w:hAnsi="Times New Roman" w:cs="Times New Roman"/>
          <w:color w:val="FF0000"/>
          <w:sz w:val="22"/>
          <w:szCs w:val="22"/>
        </w:rPr>
        <w:t>S</w:t>
      </w:r>
      <w:r w:rsidR="00382D15">
        <w:rPr>
          <w:rFonts w:ascii="Times New Roman" w:hAnsi="Times New Roman" w:cs="Times New Roman"/>
          <w:color w:val="FF0000"/>
          <w:sz w:val="22"/>
          <w:szCs w:val="22"/>
        </w:rPr>
        <w:t>4</w:t>
      </w:r>
      <w:r w:rsidRPr="006E2A9B">
        <w:rPr>
          <w:rFonts w:ascii="Times New Roman" w:hAnsi="Times New Roman" w:cs="Times New Roman"/>
          <w:color w:val="FF0000"/>
          <w:sz w:val="22"/>
          <w:szCs w:val="22"/>
        </w:rPr>
        <w:t>. The average volatility distribution of I/SVOCs from the (a) LMVs and (b) HMVs.</w:t>
      </w:r>
      <w:r>
        <w:rPr>
          <w:rFonts w:ascii="Times New Roman" w:hAnsi="Times New Roman" w:cs="Times New Roman"/>
          <w:color w:val="FF0000"/>
          <w:sz w:val="22"/>
          <w:szCs w:val="22"/>
        </w:rPr>
        <w:t xml:space="preserve"> </w:t>
      </w:r>
      <w:r w:rsidRPr="006E2A9B">
        <w:rPr>
          <w:rFonts w:ascii="Times New Roman" w:hAnsi="Times New Roman" w:cs="Times New Roman"/>
          <w:color w:val="FF0000"/>
          <w:sz w:val="22"/>
          <w:szCs w:val="22"/>
        </w:rPr>
        <w:t>Different colored bars represent different organic groups.</w:t>
      </w:r>
      <w:r>
        <w:rPr>
          <w:rFonts w:ascii="Times New Roman" w:hAnsi="Times New Roman" w:cs="Times New Roman"/>
          <w:color w:val="0000FF"/>
          <w:sz w:val="22"/>
          <w:szCs w:val="22"/>
        </w:rPr>
        <w:t>”</w:t>
      </w:r>
    </w:p>
    <w:bookmarkEnd w:id="1"/>
    <w:p w14:paraId="10C2F2B0" w14:textId="10792C29" w:rsidR="0020156A" w:rsidRPr="005B08D6" w:rsidRDefault="0020156A" w:rsidP="0020156A">
      <w:pPr>
        <w:rPr>
          <w:rFonts w:ascii="Times New Roman" w:hAnsi="Times New Roman" w:cs="Times New Roman"/>
          <w:sz w:val="22"/>
          <w:szCs w:val="22"/>
        </w:rPr>
      </w:pPr>
      <w:r w:rsidRPr="0020156A">
        <w:rPr>
          <w:rFonts w:ascii="Times New Roman" w:hAnsi="Times New Roman" w:cs="Times New Roman"/>
          <w:color w:val="0000FF"/>
          <w:sz w:val="22"/>
          <w:szCs w:val="22"/>
        </w:rPr>
        <w:t xml:space="preserve">Please refer to lines </w:t>
      </w:r>
      <w:r w:rsidR="009C6792">
        <w:rPr>
          <w:rFonts w:ascii="Times New Roman" w:hAnsi="Times New Roman" w:cs="Times New Roman"/>
          <w:color w:val="0000FF"/>
          <w:sz w:val="22"/>
          <w:szCs w:val="22"/>
        </w:rPr>
        <w:t>74</w:t>
      </w:r>
      <w:r w:rsidR="00A15BAF">
        <w:rPr>
          <w:rFonts w:ascii="Times New Roman" w:hAnsi="Times New Roman" w:cs="Times New Roman"/>
          <w:color w:val="0000FF"/>
          <w:sz w:val="22"/>
          <w:szCs w:val="22"/>
        </w:rPr>
        <w:t>-</w:t>
      </w:r>
      <w:r w:rsidR="009C6792">
        <w:rPr>
          <w:rFonts w:ascii="Times New Roman" w:hAnsi="Times New Roman" w:cs="Times New Roman"/>
          <w:color w:val="0000FF"/>
          <w:sz w:val="22"/>
          <w:szCs w:val="22"/>
        </w:rPr>
        <w:t>76</w:t>
      </w:r>
      <w:r w:rsidRPr="0020156A">
        <w:rPr>
          <w:rFonts w:ascii="Times New Roman" w:hAnsi="Times New Roman" w:cs="Times New Roman"/>
          <w:color w:val="0000FF"/>
          <w:sz w:val="22"/>
          <w:szCs w:val="22"/>
        </w:rPr>
        <w:t xml:space="preserve"> in the </w:t>
      </w:r>
      <w:r w:rsidR="006E2A9B">
        <w:rPr>
          <w:rFonts w:ascii="Times New Roman" w:hAnsi="Times New Roman" w:cs="Times New Roman"/>
          <w:color w:val="0000FF"/>
          <w:sz w:val="22"/>
          <w:szCs w:val="22"/>
        </w:rPr>
        <w:t>SI</w:t>
      </w:r>
      <w:r w:rsidRPr="0020156A">
        <w:rPr>
          <w:rFonts w:ascii="Times New Roman" w:hAnsi="Times New Roman" w:cs="Times New Roman"/>
          <w:color w:val="0000FF"/>
          <w:sz w:val="22"/>
          <w:szCs w:val="22"/>
        </w:rPr>
        <w:t xml:space="preserve"> for details.</w:t>
      </w:r>
    </w:p>
    <w:p w14:paraId="399941E5" w14:textId="77777777"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(5) Line 225: How many sets of the tests were performed? Does each data point on Figure 2b represents the average emission factor for each entire 1800s test cycle? Also, I hesitate to agree that gaseous I/SVOCs show good correlation with THC because the datapoints on Figure 2b concentrates at two ends of the fitted line, which might affect the reliability of the linear regression. Any more evidence on this point? Or any other supporting references?</w:t>
      </w:r>
    </w:p>
    <w:p w14:paraId="1933B373" w14:textId="77777777" w:rsidR="00A31E67" w:rsidRPr="00DC202B"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43D441B5" w14:textId="77777777" w:rsidR="0020156A"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 xml:space="preserve">Thanks for the comment. </w:t>
      </w:r>
      <w:r w:rsidR="00A94FE8">
        <w:rPr>
          <w:rFonts w:ascii="Times New Roman" w:hAnsi="Times New Roman" w:cs="Times New Roman"/>
          <w:color w:val="0000FF"/>
          <w:sz w:val="22"/>
          <w:szCs w:val="22"/>
        </w:rPr>
        <w:t>We performed ten sets of tests and two or three par</w:t>
      </w:r>
      <w:r w:rsidR="00F1239E">
        <w:rPr>
          <w:rFonts w:ascii="Times New Roman" w:hAnsi="Times New Roman" w:cs="Times New Roman"/>
          <w:color w:val="0000FF"/>
          <w:sz w:val="22"/>
          <w:szCs w:val="22"/>
        </w:rPr>
        <w:t xml:space="preserve">allel tests were conducted, as shown in the table below, which has been supplemented in the SI. </w:t>
      </w:r>
      <w:r w:rsidR="00C9515C">
        <w:rPr>
          <w:rFonts w:ascii="Times New Roman" w:hAnsi="Times New Roman" w:cs="Times New Roman"/>
          <w:color w:val="0000FF"/>
          <w:sz w:val="22"/>
          <w:szCs w:val="22"/>
        </w:rPr>
        <w:t>E</w:t>
      </w:r>
      <w:r w:rsidR="00C9515C" w:rsidRPr="00C9515C">
        <w:rPr>
          <w:rFonts w:ascii="Times New Roman" w:hAnsi="Times New Roman" w:cs="Times New Roman"/>
          <w:color w:val="0000FF"/>
          <w:sz w:val="22"/>
          <w:szCs w:val="22"/>
        </w:rPr>
        <w:t xml:space="preserve">ach data point on Figure 2b represents the </w:t>
      </w:r>
      <w:r w:rsidR="00F1239E">
        <w:rPr>
          <w:rFonts w:ascii="Times New Roman" w:hAnsi="Times New Roman" w:cs="Times New Roman"/>
          <w:color w:val="0000FF"/>
          <w:sz w:val="22"/>
          <w:szCs w:val="22"/>
        </w:rPr>
        <w:t>EF</w:t>
      </w:r>
      <w:r w:rsidR="00C9515C" w:rsidRPr="00C9515C">
        <w:rPr>
          <w:rFonts w:ascii="Times New Roman" w:hAnsi="Times New Roman" w:cs="Times New Roman"/>
          <w:color w:val="0000FF"/>
          <w:sz w:val="22"/>
          <w:szCs w:val="22"/>
        </w:rPr>
        <w:t xml:space="preserve"> for each entire 1800s test cycle</w:t>
      </w:r>
      <w:r w:rsidR="00C9515C">
        <w:rPr>
          <w:rFonts w:ascii="Times New Roman" w:hAnsi="Times New Roman" w:cs="Times New Roman"/>
          <w:color w:val="0000FF"/>
          <w:sz w:val="22"/>
          <w:szCs w:val="22"/>
        </w:rPr>
        <w:t>.</w:t>
      </w:r>
    </w:p>
    <w:p w14:paraId="4781BE4A" w14:textId="552F1CD3" w:rsidR="005B08D6" w:rsidRDefault="00C9515C" w:rsidP="00A31E67">
      <w:pPr>
        <w:jc w:val="both"/>
        <w:rPr>
          <w:rFonts w:ascii="Times New Roman" w:hAnsi="Times New Roman" w:cs="Times New Roman"/>
          <w:color w:val="0000FF"/>
          <w:sz w:val="22"/>
          <w:szCs w:val="22"/>
        </w:rPr>
      </w:pPr>
      <w:r>
        <w:rPr>
          <w:rFonts w:ascii="Times New Roman" w:hAnsi="Times New Roman" w:cs="Times New Roman"/>
          <w:color w:val="0000FF"/>
          <w:sz w:val="22"/>
          <w:szCs w:val="22"/>
        </w:rPr>
        <w:t xml:space="preserve">Previous studies </w:t>
      </w:r>
      <w:r w:rsidRPr="00C9515C">
        <w:rPr>
          <w:rFonts w:ascii="Times New Roman" w:hAnsi="Times New Roman" w:cs="Times New Roman"/>
          <w:color w:val="0000FF"/>
          <w:sz w:val="22"/>
          <w:szCs w:val="22"/>
        </w:rPr>
        <w:t>on vehicle exhaust emissions have reported a linear correlation between I/SVOC and THC</w:t>
      </w:r>
      <w:r w:rsidR="00955A0A">
        <w:rPr>
          <w:rFonts w:ascii="Times New Roman" w:hAnsi="Times New Roman" w:cs="Times New Roman"/>
          <w:color w:val="0000FF"/>
          <w:sz w:val="22"/>
          <w:szCs w:val="22"/>
        </w:rPr>
        <w:t xml:space="preserve"> (or </w:t>
      </w:r>
      <w:r w:rsidR="00955A0A" w:rsidRPr="00955A0A">
        <w:rPr>
          <w:rFonts w:ascii="Times New Roman" w:hAnsi="Times New Roman" w:cs="Times New Roman"/>
          <w:color w:val="0000FF"/>
          <w:sz w:val="22"/>
          <w:szCs w:val="22"/>
        </w:rPr>
        <w:t>nonmethane hydrocarbons</w:t>
      </w:r>
      <w:r w:rsidR="00955A0A">
        <w:rPr>
          <w:rFonts w:ascii="Times New Roman" w:hAnsi="Times New Roman" w:cs="Times New Roman"/>
          <w:color w:val="0000FF"/>
          <w:sz w:val="22"/>
          <w:szCs w:val="22"/>
        </w:rPr>
        <w:t xml:space="preserve">, </w:t>
      </w:r>
      <w:r w:rsidR="00955A0A" w:rsidRPr="00955A0A">
        <w:rPr>
          <w:rFonts w:ascii="Times New Roman" w:hAnsi="Times New Roman" w:cs="Times New Roman"/>
          <w:color w:val="0000FF"/>
          <w:sz w:val="22"/>
          <w:szCs w:val="22"/>
        </w:rPr>
        <w:t>NMHCs</w:t>
      </w:r>
      <w:r w:rsidR="00955A0A">
        <w:rPr>
          <w:rFonts w:ascii="Times New Roman" w:hAnsi="Times New Roman" w:cs="Times New Roman"/>
          <w:color w:val="0000FF"/>
          <w:sz w:val="22"/>
          <w:szCs w:val="22"/>
        </w:rPr>
        <w:t xml:space="preserve">). For example, Zhao et al. (2015, 2016) reported </w:t>
      </w:r>
      <w:r w:rsidR="00955A0A" w:rsidRPr="00955A0A">
        <w:rPr>
          <w:rFonts w:ascii="Times New Roman" w:hAnsi="Times New Roman" w:cs="Times New Roman"/>
          <w:color w:val="0000FF"/>
          <w:sz w:val="22"/>
          <w:szCs w:val="22"/>
        </w:rPr>
        <w:t>a stronger correlation between total I</w:t>
      </w:r>
      <w:r w:rsidR="00955A0A">
        <w:rPr>
          <w:rFonts w:ascii="Times New Roman" w:hAnsi="Times New Roman" w:cs="Times New Roman"/>
          <w:color w:val="0000FF"/>
          <w:sz w:val="22"/>
          <w:szCs w:val="22"/>
        </w:rPr>
        <w:t>/S</w:t>
      </w:r>
      <w:r w:rsidR="00955A0A" w:rsidRPr="00955A0A">
        <w:rPr>
          <w:rFonts w:ascii="Times New Roman" w:hAnsi="Times New Roman" w:cs="Times New Roman"/>
          <w:color w:val="0000FF"/>
          <w:sz w:val="22"/>
          <w:szCs w:val="22"/>
        </w:rPr>
        <w:t>VOCs and NMHCs (R</w:t>
      </w:r>
      <w:r w:rsidR="00955A0A" w:rsidRPr="00955A0A">
        <w:rPr>
          <w:rFonts w:ascii="Times New Roman" w:hAnsi="Times New Roman" w:cs="Times New Roman"/>
          <w:color w:val="0000FF"/>
          <w:sz w:val="22"/>
          <w:szCs w:val="22"/>
          <w:vertAlign w:val="superscript"/>
        </w:rPr>
        <w:t>2</w:t>
      </w:r>
      <w:r w:rsidR="00955A0A" w:rsidRPr="00955A0A">
        <w:rPr>
          <w:rFonts w:ascii="Times New Roman" w:hAnsi="Times New Roman" w:cs="Times New Roman"/>
          <w:color w:val="0000FF"/>
          <w:sz w:val="22"/>
          <w:szCs w:val="22"/>
        </w:rPr>
        <w:t xml:space="preserve"> = </w:t>
      </w:r>
      <w:r w:rsidR="00955A0A">
        <w:rPr>
          <w:rFonts w:ascii="Times New Roman" w:hAnsi="Times New Roman" w:cs="Times New Roman"/>
          <w:color w:val="0000FF"/>
          <w:sz w:val="22"/>
          <w:szCs w:val="22"/>
        </w:rPr>
        <w:t>0.92-</w:t>
      </w:r>
      <w:r w:rsidR="00955A0A" w:rsidRPr="00955A0A">
        <w:rPr>
          <w:rFonts w:ascii="Times New Roman" w:hAnsi="Times New Roman" w:cs="Times New Roman"/>
          <w:color w:val="0000FF"/>
          <w:sz w:val="22"/>
          <w:szCs w:val="22"/>
        </w:rPr>
        <w:t>0.98)</w:t>
      </w:r>
      <w:r w:rsidR="00955A0A">
        <w:rPr>
          <w:rFonts w:ascii="Times New Roman" w:hAnsi="Times New Roman" w:cs="Times New Roman"/>
          <w:color w:val="0000FF"/>
          <w:sz w:val="22"/>
          <w:szCs w:val="22"/>
        </w:rPr>
        <w:t xml:space="preserve"> emitted from motor vehicles. </w:t>
      </w:r>
      <w:r w:rsidR="0066404D">
        <w:rPr>
          <w:rFonts w:ascii="Times New Roman" w:hAnsi="Times New Roman" w:cs="Times New Roman"/>
          <w:color w:val="0000FF"/>
          <w:sz w:val="22"/>
          <w:szCs w:val="22"/>
        </w:rPr>
        <w:t xml:space="preserve">The strong correlation </w:t>
      </w:r>
      <w:r w:rsidR="0066404D" w:rsidRPr="00955A0A">
        <w:rPr>
          <w:rFonts w:ascii="Times New Roman" w:hAnsi="Times New Roman" w:cs="Times New Roman"/>
          <w:color w:val="0000FF"/>
          <w:sz w:val="22"/>
          <w:szCs w:val="22"/>
        </w:rPr>
        <w:t>between total I</w:t>
      </w:r>
      <w:r w:rsidR="0066404D">
        <w:rPr>
          <w:rFonts w:ascii="Times New Roman" w:hAnsi="Times New Roman" w:cs="Times New Roman"/>
          <w:color w:val="0000FF"/>
          <w:sz w:val="22"/>
          <w:szCs w:val="22"/>
        </w:rPr>
        <w:t>/S</w:t>
      </w:r>
      <w:r w:rsidR="0066404D" w:rsidRPr="00955A0A">
        <w:rPr>
          <w:rFonts w:ascii="Times New Roman" w:hAnsi="Times New Roman" w:cs="Times New Roman"/>
          <w:color w:val="0000FF"/>
          <w:sz w:val="22"/>
          <w:szCs w:val="22"/>
        </w:rPr>
        <w:t xml:space="preserve">VOCs and </w:t>
      </w:r>
      <w:r w:rsidR="0066404D">
        <w:rPr>
          <w:rFonts w:ascii="Times New Roman" w:hAnsi="Times New Roman" w:cs="Times New Roman"/>
          <w:color w:val="0000FF"/>
          <w:sz w:val="22"/>
          <w:szCs w:val="22"/>
        </w:rPr>
        <w:t>THC (</w:t>
      </w:r>
      <w:r w:rsidR="0066404D" w:rsidRPr="00955A0A">
        <w:rPr>
          <w:rFonts w:ascii="Times New Roman" w:hAnsi="Times New Roman" w:cs="Times New Roman"/>
          <w:color w:val="0000FF"/>
          <w:sz w:val="22"/>
          <w:szCs w:val="22"/>
        </w:rPr>
        <w:t>R</w:t>
      </w:r>
      <w:r w:rsidR="0066404D" w:rsidRPr="00955A0A">
        <w:rPr>
          <w:rFonts w:ascii="Times New Roman" w:hAnsi="Times New Roman" w:cs="Times New Roman"/>
          <w:color w:val="0000FF"/>
          <w:sz w:val="22"/>
          <w:szCs w:val="22"/>
          <w:vertAlign w:val="superscript"/>
        </w:rPr>
        <w:t>2</w:t>
      </w:r>
      <w:r w:rsidR="0066404D" w:rsidRPr="00955A0A">
        <w:rPr>
          <w:rFonts w:ascii="Times New Roman" w:hAnsi="Times New Roman" w:cs="Times New Roman"/>
          <w:color w:val="0000FF"/>
          <w:sz w:val="22"/>
          <w:szCs w:val="22"/>
        </w:rPr>
        <w:t xml:space="preserve"> = </w:t>
      </w:r>
      <w:r w:rsidR="0066404D">
        <w:rPr>
          <w:rFonts w:ascii="Times New Roman" w:hAnsi="Times New Roman" w:cs="Times New Roman"/>
          <w:color w:val="0000FF"/>
          <w:sz w:val="22"/>
          <w:szCs w:val="22"/>
        </w:rPr>
        <w:t>0.78-</w:t>
      </w:r>
      <w:r w:rsidR="0066404D" w:rsidRPr="00955A0A">
        <w:rPr>
          <w:rFonts w:ascii="Times New Roman" w:hAnsi="Times New Roman" w:cs="Times New Roman"/>
          <w:color w:val="0000FF"/>
          <w:sz w:val="22"/>
          <w:szCs w:val="22"/>
        </w:rPr>
        <w:t>0.</w:t>
      </w:r>
      <w:r w:rsidR="0066404D">
        <w:rPr>
          <w:rFonts w:ascii="Times New Roman" w:hAnsi="Times New Roman" w:cs="Times New Roman"/>
          <w:color w:val="0000FF"/>
          <w:sz w:val="22"/>
          <w:szCs w:val="22"/>
        </w:rPr>
        <w:t xml:space="preserve">87) was also found by </w:t>
      </w:r>
      <w:r w:rsidR="008C2973">
        <w:rPr>
          <w:rFonts w:ascii="Times New Roman" w:hAnsi="Times New Roman" w:cs="Times New Roman"/>
          <w:color w:val="0000FF"/>
          <w:sz w:val="22"/>
          <w:szCs w:val="22"/>
        </w:rPr>
        <w:t>Tang et al. (2021)</w:t>
      </w:r>
      <w:r w:rsidR="0066404D">
        <w:rPr>
          <w:rFonts w:ascii="Times New Roman" w:hAnsi="Times New Roman" w:cs="Times New Roman"/>
          <w:color w:val="0000FF"/>
          <w:sz w:val="22"/>
          <w:szCs w:val="22"/>
        </w:rPr>
        <w:t>.</w:t>
      </w:r>
      <w:r w:rsidR="0020156A">
        <w:rPr>
          <w:rFonts w:ascii="Times New Roman" w:hAnsi="Times New Roman" w:cs="Times New Roman"/>
          <w:color w:val="0000FF"/>
          <w:sz w:val="22"/>
          <w:szCs w:val="22"/>
        </w:rPr>
        <w:t xml:space="preserve"> </w:t>
      </w:r>
      <w:r w:rsidR="00A40E7F">
        <w:rPr>
          <w:rFonts w:ascii="Times New Roman" w:hAnsi="Times New Roman" w:cs="Times New Roman"/>
          <w:color w:val="0000FF"/>
          <w:sz w:val="22"/>
          <w:szCs w:val="22"/>
        </w:rPr>
        <w:t>T</w:t>
      </w:r>
      <w:r w:rsidR="00A40E7F">
        <w:rPr>
          <w:rFonts w:ascii="Times New Roman" w:hAnsi="Times New Roman" w:cs="Times New Roman" w:hint="eastAsia"/>
          <w:color w:val="0000FF"/>
          <w:sz w:val="22"/>
          <w:szCs w:val="22"/>
        </w:rPr>
        <w:t>heir</w:t>
      </w:r>
      <w:r w:rsidR="00A40E7F">
        <w:rPr>
          <w:rFonts w:ascii="Times New Roman" w:hAnsi="Times New Roman" w:cs="Times New Roman"/>
          <w:color w:val="0000FF"/>
          <w:sz w:val="22"/>
          <w:szCs w:val="22"/>
        </w:rPr>
        <w:t xml:space="preserve"> </w:t>
      </w:r>
      <w:r w:rsidR="00A40E7F" w:rsidRPr="00C9515C">
        <w:rPr>
          <w:rFonts w:ascii="Times New Roman" w:hAnsi="Times New Roman" w:cs="Times New Roman"/>
          <w:color w:val="0000FF"/>
          <w:sz w:val="22"/>
          <w:szCs w:val="22"/>
        </w:rPr>
        <w:t>linear correlation</w:t>
      </w:r>
      <w:r w:rsidR="00A40E7F">
        <w:rPr>
          <w:rFonts w:ascii="Times New Roman" w:hAnsi="Times New Roman" w:cs="Times New Roman"/>
          <w:color w:val="0000FF"/>
          <w:sz w:val="22"/>
          <w:szCs w:val="22"/>
        </w:rPr>
        <w:t xml:space="preserve"> and ratio have also been used to estimate the I/SVOC emission inventory when no detailed I/SVOC measurement data are available (</w:t>
      </w:r>
      <w:r w:rsidR="00035A7D">
        <w:rPr>
          <w:rFonts w:ascii="Times New Roman" w:hAnsi="Times New Roman" w:cs="Times New Roman"/>
          <w:color w:val="0000FF"/>
          <w:sz w:val="22"/>
          <w:szCs w:val="22"/>
        </w:rPr>
        <w:t>Zhang et al., 2024; Zhao et al., 2022</w:t>
      </w:r>
      <w:r w:rsidR="00A40E7F">
        <w:rPr>
          <w:rFonts w:ascii="Times New Roman" w:hAnsi="Times New Roman" w:cs="Times New Roman"/>
          <w:color w:val="0000FF"/>
          <w:sz w:val="22"/>
          <w:szCs w:val="22"/>
        </w:rPr>
        <w:t>).</w:t>
      </w:r>
      <w:r w:rsidR="00035A7D">
        <w:rPr>
          <w:rFonts w:ascii="Times New Roman" w:hAnsi="Times New Roman" w:cs="Times New Roman"/>
          <w:color w:val="0000FF"/>
          <w:sz w:val="22"/>
          <w:szCs w:val="22"/>
        </w:rPr>
        <w:t xml:space="preserve"> For instance, Zhao et al. (2022) used the EF ratios of IVOCs to NMHCs of </w:t>
      </w:r>
      <w:r w:rsidR="00C1384D">
        <w:rPr>
          <w:rFonts w:ascii="Times New Roman" w:hAnsi="Times New Roman" w:cs="Times New Roman"/>
          <w:color w:val="0000FF"/>
          <w:sz w:val="22"/>
          <w:szCs w:val="22"/>
        </w:rPr>
        <w:t xml:space="preserve">diesel </w:t>
      </w:r>
      <w:r w:rsidR="00C1384D">
        <w:rPr>
          <w:rFonts w:ascii="Times New Roman" w:hAnsi="Times New Roman" w:cs="Times New Roman"/>
          <w:color w:val="0000FF"/>
          <w:sz w:val="22"/>
          <w:szCs w:val="22"/>
        </w:rPr>
        <w:lastRenderedPageBreak/>
        <w:t>vehicles calculated by previous studies to estimate the IVOC emission inventory for mobile sources in China.</w:t>
      </w:r>
    </w:p>
    <w:p w14:paraId="5296F25D" w14:textId="078AF024" w:rsidR="00C1384D" w:rsidRPr="00C1384D" w:rsidRDefault="00C1384D" w:rsidP="00A31E67">
      <w:pPr>
        <w:jc w:val="both"/>
        <w:rPr>
          <w:rFonts w:ascii="Times New Roman" w:hAnsi="Times New Roman" w:cs="Times New Roman"/>
          <w:color w:val="FF0000"/>
          <w:sz w:val="22"/>
          <w:szCs w:val="22"/>
        </w:rPr>
      </w:pPr>
      <w:r>
        <w:rPr>
          <w:rFonts w:ascii="Times New Roman" w:hAnsi="Times New Roman" w:cs="Times New Roman"/>
          <w:color w:val="0000FF"/>
          <w:sz w:val="22"/>
          <w:szCs w:val="22"/>
        </w:rPr>
        <w:t>“</w:t>
      </w:r>
      <w:bookmarkStart w:id="2" w:name="_Hlk186225538"/>
      <w:r w:rsidRPr="00C1384D">
        <w:rPr>
          <w:rFonts w:ascii="Times New Roman" w:hAnsi="Times New Roman" w:cs="Times New Roman" w:hint="eastAsia"/>
          <w:color w:val="FF0000"/>
          <w:sz w:val="22"/>
          <w:szCs w:val="22"/>
        </w:rPr>
        <w:t>T</w:t>
      </w:r>
      <w:r w:rsidRPr="00C1384D">
        <w:rPr>
          <w:rFonts w:ascii="Times New Roman" w:hAnsi="Times New Roman" w:cs="Times New Roman"/>
          <w:color w:val="FF0000"/>
          <w:sz w:val="22"/>
          <w:szCs w:val="22"/>
        </w:rPr>
        <w:t>able S1. Sets of test cycles.</w:t>
      </w:r>
    </w:p>
    <w:tbl>
      <w:tblPr>
        <w:tblStyle w:val="61"/>
        <w:tblW w:w="0" w:type="auto"/>
        <w:tblLook w:val="04A0" w:firstRow="1" w:lastRow="0" w:firstColumn="1" w:lastColumn="0" w:noHBand="0" w:noVBand="1"/>
      </w:tblPr>
      <w:tblGrid>
        <w:gridCol w:w="1049"/>
        <w:gridCol w:w="1187"/>
        <w:gridCol w:w="2214"/>
        <w:gridCol w:w="2633"/>
        <w:gridCol w:w="1547"/>
      </w:tblGrid>
      <w:tr w:rsidR="00C1384D" w:rsidRPr="00C1384D" w14:paraId="79307FB2" w14:textId="77777777" w:rsidTr="00C846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Borders>
              <w:top w:val="single" w:sz="8" w:space="0" w:color="000000" w:themeColor="text1"/>
            </w:tcBorders>
            <w:vAlign w:val="center"/>
          </w:tcPr>
          <w:p w14:paraId="77A73549" w14:textId="65B0A9D0" w:rsidR="00A94FE8" w:rsidRPr="00C1384D" w:rsidRDefault="00A94FE8" w:rsidP="00C846A6">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N</w:t>
            </w:r>
            <w:r w:rsidRPr="00C1384D">
              <w:rPr>
                <w:rFonts w:ascii="Times New Roman" w:hAnsi="Times New Roman" w:cs="Times New Roman"/>
                <w:color w:val="FF0000"/>
                <w:sz w:val="22"/>
                <w:szCs w:val="22"/>
              </w:rPr>
              <w:t>O.</w:t>
            </w:r>
          </w:p>
        </w:tc>
        <w:tc>
          <w:tcPr>
            <w:tcW w:w="1187" w:type="dxa"/>
            <w:tcBorders>
              <w:top w:val="single" w:sz="8" w:space="0" w:color="000000" w:themeColor="text1"/>
            </w:tcBorders>
            <w:vAlign w:val="center"/>
          </w:tcPr>
          <w:p w14:paraId="3CD00C9F" w14:textId="694ADA57" w:rsidR="00A94FE8" w:rsidRPr="00C1384D" w:rsidRDefault="00A94FE8" w:rsidP="00C846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V</w:t>
            </w:r>
            <w:r w:rsidRPr="00C1384D">
              <w:rPr>
                <w:rFonts w:ascii="Times New Roman" w:hAnsi="Times New Roman" w:cs="Times New Roman"/>
                <w:color w:val="FF0000"/>
                <w:sz w:val="22"/>
                <w:szCs w:val="22"/>
              </w:rPr>
              <w:t>ehicle ID</w:t>
            </w:r>
          </w:p>
        </w:tc>
        <w:tc>
          <w:tcPr>
            <w:tcW w:w="2214" w:type="dxa"/>
            <w:tcBorders>
              <w:top w:val="single" w:sz="8" w:space="0" w:color="000000" w:themeColor="text1"/>
            </w:tcBorders>
            <w:vAlign w:val="center"/>
          </w:tcPr>
          <w:p w14:paraId="148116F1" w14:textId="0CE3D90E" w:rsidR="00A94FE8" w:rsidRPr="00C1384D" w:rsidRDefault="00A94FE8" w:rsidP="00C846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A</w:t>
            </w:r>
            <w:r w:rsidRPr="00C1384D">
              <w:rPr>
                <w:rFonts w:ascii="Times New Roman" w:hAnsi="Times New Roman" w:cs="Times New Roman"/>
                <w:color w:val="FF0000"/>
                <w:sz w:val="22"/>
                <w:szCs w:val="22"/>
              </w:rPr>
              <w:t>mbient Temperature</w:t>
            </w:r>
          </w:p>
        </w:tc>
        <w:tc>
          <w:tcPr>
            <w:tcW w:w="2633" w:type="dxa"/>
            <w:tcBorders>
              <w:top w:val="single" w:sz="8" w:space="0" w:color="000000" w:themeColor="text1"/>
            </w:tcBorders>
            <w:vAlign w:val="center"/>
          </w:tcPr>
          <w:p w14:paraId="3759D399" w14:textId="06D40479" w:rsidR="00A94FE8" w:rsidRPr="00C1384D" w:rsidRDefault="00A94FE8" w:rsidP="00C846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C</w:t>
            </w:r>
            <w:r w:rsidRPr="00C1384D">
              <w:rPr>
                <w:rFonts w:ascii="Times New Roman" w:hAnsi="Times New Roman" w:cs="Times New Roman"/>
                <w:color w:val="FF0000"/>
                <w:sz w:val="22"/>
                <w:szCs w:val="22"/>
              </w:rPr>
              <w:t>old- or Hot-start Cycle</w:t>
            </w:r>
          </w:p>
        </w:tc>
        <w:tc>
          <w:tcPr>
            <w:tcW w:w="1547" w:type="dxa"/>
            <w:tcBorders>
              <w:top w:val="single" w:sz="8" w:space="0" w:color="000000" w:themeColor="text1"/>
            </w:tcBorders>
            <w:vAlign w:val="center"/>
          </w:tcPr>
          <w:p w14:paraId="0C176954" w14:textId="2C1E5F69" w:rsidR="00A94FE8" w:rsidRPr="00C1384D" w:rsidRDefault="009C6792" w:rsidP="00C846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9C6792">
              <w:rPr>
                <w:rFonts w:ascii="Times New Roman" w:hAnsi="Times New Roman" w:cs="Times New Roman"/>
                <w:color w:val="FF0000"/>
                <w:sz w:val="22"/>
                <w:szCs w:val="22"/>
              </w:rPr>
              <w:t>Repetitions</w:t>
            </w:r>
          </w:p>
        </w:tc>
      </w:tr>
      <w:tr w:rsidR="00C1384D" w:rsidRPr="00C1384D" w14:paraId="23B9D67F" w14:textId="77777777" w:rsidTr="00C13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14:paraId="6FCD58FC" w14:textId="456F6DD9"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1</w:t>
            </w:r>
          </w:p>
        </w:tc>
        <w:tc>
          <w:tcPr>
            <w:tcW w:w="1187" w:type="dxa"/>
          </w:tcPr>
          <w:p w14:paraId="549FDB1B" w14:textId="64B4311F"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1</w:t>
            </w:r>
          </w:p>
        </w:tc>
        <w:tc>
          <w:tcPr>
            <w:tcW w:w="2214" w:type="dxa"/>
          </w:tcPr>
          <w:p w14:paraId="13A57600" w14:textId="41EF1340"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4DAC93A6" w14:textId="487E8062"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C</w:t>
            </w:r>
            <w:r w:rsidRPr="00C1384D">
              <w:rPr>
                <w:rFonts w:ascii="Times New Roman" w:hAnsi="Times New Roman" w:cs="Times New Roman"/>
                <w:color w:val="FF0000"/>
                <w:sz w:val="22"/>
                <w:szCs w:val="22"/>
              </w:rPr>
              <w:t>old-</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70A9233D" w14:textId="55A609D8"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r>
      <w:tr w:rsidR="00C1384D" w:rsidRPr="00C1384D" w14:paraId="4F0507EC" w14:textId="77777777" w:rsidTr="00C1384D">
        <w:tc>
          <w:tcPr>
            <w:cnfStyle w:val="001000000000" w:firstRow="0" w:lastRow="0" w:firstColumn="1" w:lastColumn="0" w:oddVBand="0" w:evenVBand="0" w:oddHBand="0" w:evenHBand="0" w:firstRowFirstColumn="0" w:firstRowLastColumn="0" w:lastRowFirstColumn="0" w:lastRowLastColumn="0"/>
            <w:tcW w:w="1049" w:type="dxa"/>
          </w:tcPr>
          <w:p w14:paraId="0FE9A4A3" w14:textId="5ED5FD24"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c>
          <w:tcPr>
            <w:tcW w:w="1187" w:type="dxa"/>
          </w:tcPr>
          <w:p w14:paraId="2B667904" w14:textId="33DBBCE0"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1</w:t>
            </w:r>
          </w:p>
        </w:tc>
        <w:tc>
          <w:tcPr>
            <w:tcW w:w="2214" w:type="dxa"/>
          </w:tcPr>
          <w:p w14:paraId="153D4EBF" w14:textId="3985322E"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6C02A304" w14:textId="10DC5343"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H</w:t>
            </w:r>
            <w:r w:rsidRPr="00C1384D">
              <w:rPr>
                <w:rFonts w:ascii="Times New Roman" w:hAnsi="Times New Roman" w:cs="Times New Roman"/>
                <w:color w:val="FF0000"/>
                <w:sz w:val="22"/>
                <w:szCs w:val="22"/>
              </w:rPr>
              <w:t>ot-</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3C34C20C" w14:textId="5DD48BFE"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r>
      <w:tr w:rsidR="00C1384D" w:rsidRPr="00C1384D" w14:paraId="7CFD8A87" w14:textId="77777777" w:rsidTr="00C13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14:paraId="516B6D2C" w14:textId="525D29B7"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3</w:t>
            </w:r>
          </w:p>
        </w:tc>
        <w:tc>
          <w:tcPr>
            <w:tcW w:w="1187" w:type="dxa"/>
          </w:tcPr>
          <w:p w14:paraId="0F0DC01B" w14:textId="115DAABA"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2</w:t>
            </w:r>
          </w:p>
        </w:tc>
        <w:tc>
          <w:tcPr>
            <w:tcW w:w="2214" w:type="dxa"/>
          </w:tcPr>
          <w:p w14:paraId="1D8F7758" w14:textId="45E2DA17"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23E232E7" w14:textId="6F72F885"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C</w:t>
            </w:r>
            <w:r w:rsidRPr="00C1384D">
              <w:rPr>
                <w:rFonts w:ascii="Times New Roman" w:hAnsi="Times New Roman" w:cs="Times New Roman"/>
                <w:color w:val="FF0000"/>
                <w:sz w:val="22"/>
                <w:szCs w:val="22"/>
              </w:rPr>
              <w:t>old-</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37C789C8" w14:textId="3E0B7806"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r>
      <w:tr w:rsidR="00C1384D" w:rsidRPr="00C1384D" w14:paraId="1CE5930B" w14:textId="77777777" w:rsidTr="00C1384D">
        <w:tc>
          <w:tcPr>
            <w:cnfStyle w:val="001000000000" w:firstRow="0" w:lastRow="0" w:firstColumn="1" w:lastColumn="0" w:oddVBand="0" w:evenVBand="0" w:oddHBand="0" w:evenHBand="0" w:firstRowFirstColumn="0" w:firstRowLastColumn="0" w:lastRowFirstColumn="0" w:lastRowLastColumn="0"/>
            <w:tcW w:w="1049" w:type="dxa"/>
          </w:tcPr>
          <w:p w14:paraId="65696016" w14:textId="5B1630F0"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4</w:t>
            </w:r>
          </w:p>
        </w:tc>
        <w:tc>
          <w:tcPr>
            <w:tcW w:w="1187" w:type="dxa"/>
          </w:tcPr>
          <w:p w14:paraId="25B86B2F" w14:textId="21481564"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2</w:t>
            </w:r>
          </w:p>
        </w:tc>
        <w:tc>
          <w:tcPr>
            <w:tcW w:w="2214" w:type="dxa"/>
          </w:tcPr>
          <w:p w14:paraId="2EF4B395" w14:textId="2AD573DB"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7C9A15DF" w14:textId="28B4F596"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H</w:t>
            </w:r>
            <w:r w:rsidRPr="00C1384D">
              <w:rPr>
                <w:rFonts w:ascii="Times New Roman" w:hAnsi="Times New Roman" w:cs="Times New Roman"/>
                <w:color w:val="FF0000"/>
                <w:sz w:val="22"/>
                <w:szCs w:val="22"/>
              </w:rPr>
              <w:t>ot-</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3E45F570" w14:textId="59085578"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r>
      <w:tr w:rsidR="00C1384D" w:rsidRPr="00C1384D" w14:paraId="76EBFD91" w14:textId="77777777" w:rsidTr="00C13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14:paraId="65FB764F" w14:textId="7D6050C2"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5</w:t>
            </w:r>
          </w:p>
        </w:tc>
        <w:tc>
          <w:tcPr>
            <w:tcW w:w="1187" w:type="dxa"/>
          </w:tcPr>
          <w:p w14:paraId="2E46E02B" w14:textId="16982621"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2</w:t>
            </w:r>
          </w:p>
        </w:tc>
        <w:tc>
          <w:tcPr>
            <w:tcW w:w="2214" w:type="dxa"/>
          </w:tcPr>
          <w:p w14:paraId="70129CEC" w14:textId="63F1BE1E"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color w:val="FF0000"/>
                <w:sz w:val="22"/>
                <w:szCs w:val="22"/>
              </w:rPr>
              <w:t>0</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151AF8A2" w14:textId="413E4B4B"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H</w:t>
            </w:r>
            <w:r w:rsidRPr="00C1384D">
              <w:rPr>
                <w:rFonts w:ascii="Times New Roman" w:hAnsi="Times New Roman" w:cs="Times New Roman"/>
                <w:color w:val="FF0000"/>
                <w:sz w:val="22"/>
                <w:szCs w:val="22"/>
              </w:rPr>
              <w:t>ot-</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46C10BBC" w14:textId="2FC3CDE3"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r>
      <w:tr w:rsidR="00C1384D" w:rsidRPr="00C1384D" w14:paraId="1D605510" w14:textId="77777777" w:rsidTr="00C1384D">
        <w:tc>
          <w:tcPr>
            <w:cnfStyle w:val="001000000000" w:firstRow="0" w:lastRow="0" w:firstColumn="1" w:lastColumn="0" w:oddVBand="0" w:evenVBand="0" w:oddHBand="0" w:evenHBand="0" w:firstRowFirstColumn="0" w:firstRowLastColumn="0" w:lastRowFirstColumn="0" w:lastRowLastColumn="0"/>
            <w:tcW w:w="1049" w:type="dxa"/>
          </w:tcPr>
          <w:p w14:paraId="63BDC827" w14:textId="7307200E"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6</w:t>
            </w:r>
          </w:p>
        </w:tc>
        <w:tc>
          <w:tcPr>
            <w:tcW w:w="1187" w:type="dxa"/>
          </w:tcPr>
          <w:p w14:paraId="566B8E73" w14:textId="7AF6A8FC"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3</w:t>
            </w:r>
          </w:p>
        </w:tc>
        <w:tc>
          <w:tcPr>
            <w:tcW w:w="2214" w:type="dxa"/>
          </w:tcPr>
          <w:p w14:paraId="7744A578" w14:textId="59CA67AE"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1F8CE8AD" w14:textId="0DDB40E2"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C</w:t>
            </w:r>
            <w:r w:rsidRPr="00C1384D">
              <w:rPr>
                <w:rFonts w:ascii="Times New Roman" w:hAnsi="Times New Roman" w:cs="Times New Roman"/>
                <w:color w:val="FF0000"/>
                <w:sz w:val="22"/>
                <w:szCs w:val="22"/>
              </w:rPr>
              <w:t>old-</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7BC706E4" w14:textId="05BE4985"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3</w:t>
            </w:r>
          </w:p>
        </w:tc>
      </w:tr>
      <w:tr w:rsidR="00C1384D" w:rsidRPr="00C1384D" w14:paraId="0988C3AF" w14:textId="77777777" w:rsidTr="00C13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14:paraId="5C554BBE" w14:textId="7365A368"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7</w:t>
            </w:r>
          </w:p>
        </w:tc>
        <w:tc>
          <w:tcPr>
            <w:tcW w:w="1187" w:type="dxa"/>
          </w:tcPr>
          <w:p w14:paraId="735686B4" w14:textId="02B45CB5"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3</w:t>
            </w:r>
          </w:p>
        </w:tc>
        <w:tc>
          <w:tcPr>
            <w:tcW w:w="2214" w:type="dxa"/>
          </w:tcPr>
          <w:p w14:paraId="597A8D11" w14:textId="44F87738"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4D82B1BF" w14:textId="2F54E044"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H</w:t>
            </w:r>
            <w:r w:rsidRPr="00C1384D">
              <w:rPr>
                <w:rFonts w:ascii="Times New Roman" w:hAnsi="Times New Roman" w:cs="Times New Roman"/>
                <w:color w:val="FF0000"/>
                <w:sz w:val="22"/>
                <w:szCs w:val="22"/>
              </w:rPr>
              <w:t>ot-</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29E9CDCC" w14:textId="701734CD"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3</w:t>
            </w:r>
          </w:p>
        </w:tc>
      </w:tr>
      <w:tr w:rsidR="00C1384D" w:rsidRPr="00C1384D" w14:paraId="281DF53C" w14:textId="77777777" w:rsidTr="00C1384D">
        <w:tc>
          <w:tcPr>
            <w:cnfStyle w:val="001000000000" w:firstRow="0" w:lastRow="0" w:firstColumn="1" w:lastColumn="0" w:oddVBand="0" w:evenVBand="0" w:oddHBand="0" w:evenHBand="0" w:firstRowFirstColumn="0" w:firstRowLastColumn="0" w:lastRowFirstColumn="0" w:lastRowLastColumn="0"/>
            <w:tcW w:w="1049" w:type="dxa"/>
          </w:tcPr>
          <w:p w14:paraId="0865EBF2" w14:textId="1D3AC365"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8</w:t>
            </w:r>
          </w:p>
        </w:tc>
        <w:tc>
          <w:tcPr>
            <w:tcW w:w="1187" w:type="dxa"/>
          </w:tcPr>
          <w:p w14:paraId="1DAA78D4" w14:textId="4F479682"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4</w:t>
            </w:r>
          </w:p>
        </w:tc>
        <w:tc>
          <w:tcPr>
            <w:tcW w:w="2214" w:type="dxa"/>
          </w:tcPr>
          <w:p w14:paraId="2FEA2ACB" w14:textId="0B028699"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4578760D" w14:textId="662C5316"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C</w:t>
            </w:r>
            <w:r w:rsidRPr="00C1384D">
              <w:rPr>
                <w:rFonts w:ascii="Times New Roman" w:hAnsi="Times New Roman" w:cs="Times New Roman"/>
                <w:color w:val="FF0000"/>
                <w:sz w:val="22"/>
                <w:szCs w:val="22"/>
              </w:rPr>
              <w:t>old-</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3955B56D" w14:textId="4551933C"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3</w:t>
            </w:r>
          </w:p>
        </w:tc>
      </w:tr>
      <w:tr w:rsidR="00C1384D" w:rsidRPr="00C1384D" w14:paraId="55AA95CC" w14:textId="77777777" w:rsidTr="00C13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14:paraId="6C9B25EB" w14:textId="7266C1D8"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9</w:t>
            </w:r>
          </w:p>
        </w:tc>
        <w:tc>
          <w:tcPr>
            <w:tcW w:w="1187" w:type="dxa"/>
          </w:tcPr>
          <w:p w14:paraId="35E9A73F" w14:textId="491959E9"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4</w:t>
            </w:r>
          </w:p>
        </w:tc>
        <w:tc>
          <w:tcPr>
            <w:tcW w:w="2214" w:type="dxa"/>
          </w:tcPr>
          <w:p w14:paraId="5FC1F4D3" w14:textId="7AF25A98"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r w:rsidRPr="00C1384D">
              <w:rPr>
                <w:rFonts w:ascii="Times New Roman" w:hAnsi="Times New Roman" w:cs="Times New Roman"/>
                <w:color w:val="FF0000"/>
                <w:sz w:val="22"/>
                <w:szCs w:val="22"/>
              </w:rPr>
              <w:t>3</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Pr>
          <w:p w14:paraId="2EDA33CC" w14:textId="4D7C70A5"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H</w:t>
            </w:r>
            <w:r w:rsidRPr="00C1384D">
              <w:rPr>
                <w:rFonts w:ascii="Times New Roman" w:hAnsi="Times New Roman" w:cs="Times New Roman"/>
                <w:color w:val="FF0000"/>
                <w:sz w:val="22"/>
                <w:szCs w:val="22"/>
              </w:rPr>
              <w:t>ot-</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Pr>
          <w:p w14:paraId="0401D73B" w14:textId="658A3AE3" w:rsidR="00A94FE8" w:rsidRPr="00C1384D" w:rsidRDefault="00A94FE8" w:rsidP="00A94FE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3</w:t>
            </w:r>
          </w:p>
        </w:tc>
      </w:tr>
      <w:tr w:rsidR="00C1384D" w:rsidRPr="00C1384D" w14:paraId="1420D847" w14:textId="77777777" w:rsidTr="00C1384D">
        <w:tc>
          <w:tcPr>
            <w:cnfStyle w:val="001000000000" w:firstRow="0" w:lastRow="0" w:firstColumn="1" w:lastColumn="0" w:oddVBand="0" w:evenVBand="0" w:oddHBand="0" w:evenHBand="0" w:firstRowFirstColumn="0" w:firstRowLastColumn="0" w:lastRowFirstColumn="0" w:lastRowLastColumn="0"/>
            <w:tcW w:w="1049" w:type="dxa"/>
            <w:tcBorders>
              <w:bottom w:val="single" w:sz="8" w:space="0" w:color="000000" w:themeColor="text1"/>
            </w:tcBorders>
          </w:tcPr>
          <w:p w14:paraId="0E98C516" w14:textId="644A6C9B" w:rsidR="00A94FE8" w:rsidRPr="00C1384D" w:rsidRDefault="00A94FE8" w:rsidP="00A94FE8">
            <w:pPr>
              <w:jc w:val="center"/>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1</w:t>
            </w:r>
            <w:r w:rsidRPr="00C1384D">
              <w:rPr>
                <w:rFonts w:ascii="Times New Roman" w:hAnsi="Times New Roman" w:cs="Times New Roman"/>
                <w:color w:val="FF0000"/>
                <w:sz w:val="22"/>
                <w:szCs w:val="22"/>
              </w:rPr>
              <w:t>0</w:t>
            </w:r>
          </w:p>
        </w:tc>
        <w:tc>
          <w:tcPr>
            <w:tcW w:w="1187" w:type="dxa"/>
            <w:tcBorders>
              <w:bottom w:val="single" w:sz="8" w:space="0" w:color="000000" w:themeColor="text1"/>
            </w:tcBorders>
          </w:tcPr>
          <w:p w14:paraId="47264B14" w14:textId="170AA641"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D</w:t>
            </w:r>
            <w:r w:rsidRPr="00C1384D">
              <w:rPr>
                <w:rFonts w:ascii="Times New Roman" w:hAnsi="Times New Roman" w:cs="Times New Roman"/>
                <w:color w:val="FF0000"/>
                <w:sz w:val="22"/>
                <w:szCs w:val="22"/>
              </w:rPr>
              <w:t>4</w:t>
            </w:r>
          </w:p>
        </w:tc>
        <w:tc>
          <w:tcPr>
            <w:tcW w:w="2214" w:type="dxa"/>
            <w:tcBorders>
              <w:bottom w:val="single" w:sz="8" w:space="0" w:color="000000" w:themeColor="text1"/>
            </w:tcBorders>
          </w:tcPr>
          <w:p w14:paraId="231B16AF" w14:textId="1EFF8880"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color w:val="FF0000"/>
                <w:sz w:val="22"/>
                <w:szCs w:val="22"/>
              </w:rPr>
              <w:t>0</w:t>
            </w:r>
            <w:r w:rsidRPr="00C1384D">
              <w:rPr>
                <w:rFonts w:ascii="Times New Roman" w:hAnsi="Times New Roman" w:cs="Times New Roman" w:hint="eastAsia"/>
                <w:color w:val="FF0000"/>
                <w:sz w:val="22"/>
                <w:szCs w:val="22"/>
              </w:rPr>
              <w:t>°</w:t>
            </w:r>
            <w:r w:rsidRPr="00C1384D">
              <w:rPr>
                <w:rFonts w:ascii="Times New Roman" w:hAnsi="Times New Roman" w:cs="Times New Roman"/>
                <w:color w:val="FF0000"/>
                <w:sz w:val="22"/>
                <w:szCs w:val="22"/>
              </w:rPr>
              <w:t>C</w:t>
            </w:r>
          </w:p>
        </w:tc>
        <w:tc>
          <w:tcPr>
            <w:tcW w:w="2633" w:type="dxa"/>
            <w:tcBorders>
              <w:bottom w:val="single" w:sz="8" w:space="0" w:color="000000" w:themeColor="text1"/>
            </w:tcBorders>
          </w:tcPr>
          <w:p w14:paraId="6141F7F0" w14:textId="39FA5B3C"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H</w:t>
            </w:r>
            <w:r w:rsidRPr="00C1384D">
              <w:rPr>
                <w:rFonts w:ascii="Times New Roman" w:hAnsi="Times New Roman" w:cs="Times New Roman"/>
                <w:color w:val="FF0000"/>
                <w:sz w:val="22"/>
                <w:szCs w:val="22"/>
              </w:rPr>
              <w:t>ot-</w:t>
            </w:r>
            <w:r w:rsidR="00CF70BC" w:rsidRPr="00C1384D">
              <w:rPr>
                <w:rFonts w:ascii="Times New Roman" w:hAnsi="Times New Roman" w:cs="Times New Roman"/>
                <w:color w:val="FF0000"/>
                <w:sz w:val="22"/>
                <w:szCs w:val="22"/>
              </w:rPr>
              <w:t xml:space="preserve">start </w:t>
            </w:r>
            <w:r w:rsidR="00CF70BC" w:rsidRPr="00C1384D">
              <w:rPr>
                <w:rFonts w:ascii="Times New Roman" w:hAnsi="Times New Roman" w:cs="Times New Roman" w:hint="eastAsia"/>
                <w:color w:val="FF0000"/>
                <w:sz w:val="22"/>
                <w:szCs w:val="22"/>
              </w:rPr>
              <w:t>c</w:t>
            </w:r>
            <w:r w:rsidR="00CF70BC" w:rsidRPr="00C1384D">
              <w:rPr>
                <w:rFonts w:ascii="Times New Roman" w:hAnsi="Times New Roman" w:cs="Times New Roman"/>
                <w:color w:val="FF0000"/>
                <w:sz w:val="22"/>
                <w:szCs w:val="22"/>
              </w:rPr>
              <w:t>ycle</w:t>
            </w:r>
          </w:p>
        </w:tc>
        <w:tc>
          <w:tcPr>
            <w:tcW w:w="1547" w:type="dxa"/>
            <w:tcBorders>
              <w:bottom w:val="single" w:sz="8" w:space="0" w:color="000000" w:themeColor="text1"/>
            </w:tcBorders>
          </w:tcPr>
          <w:p w14:paraId="3AD18D27" w14:textId="03020B5B" w:rsidR="00A94FE8" w:rsidRPr="00C1384D" w:rsidRDefault="00A94FE8" w:rsidP="00A94F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C1384D">
              <w:rPr>
                <w:rFonts w:ascii="Times New Roman" w:hAnsi="Times New Roman" w:cs="Times New Roman" w:hint="eastAsia"/>
                <w:color w:val="FF0000"/>
                <w:sz w:val="22"/>
                <w:szCs w:val="22"/>
              </w:rPr>
              <w:t>2</w:t>
            </w:r>
          </w:p>
        </w:tc>
      </w:tr>
    </w:tbl>
    <w:bookmarkEnd w:id="2"/>
    <w:p w14:paraId="44E5D56F" w14:textId="732135E6" w:rsidR="00C1384D" w:rsidRPr="0020156A" w:rsidRDefault="00C1384D" w:rsidP="00C1384D">
      <w:pPr>
        <w:jc w:val="both"/>
        <w:rPr>
          <w:rFonts w:ascii="Times New Roman" w:hAnsi="Times New Roman" w:cs="Times New Roman"/>
          <w:color w:val="0000FF"/>
          <w:sz w:val="22"/>
          <w:szCs w:val="22"/>
        </w:rPr>
      </w:pPr>
      <w:r w:rsidRPr="0020156A">
        <w:rPr>
          <w:rFonts w:ascii="Times New Roman" w:hAnsi="Times New Roman" w:cs="Times New Roman"/>
          <w:color w:val="0000FF"/>
          <w:sz w:val="22"/>
          <w:szCs w:val="22"/>
        </w:rPr>
        <w:t xml:space="preserve">Please refer to lines </w:t>
      </w:r>
      <w:r w:rsidR="009C6792">
        <w:rPr>
          <w:rFonts w:ascii="Times New Roman" w:hAnsi="Times New Roman" w:cs="Times New Roman"/>
          <w:color w:val="0000FF"/>
          <w:sz w:val="22"/>
          <w:szCs w:val="22"/>
        </w:rPr>
        <w:t>58</w:t>
      </w:r>
      <w:r w:rsidRPr="0020156A">
        <w:rPr>
          <w:rFonts w:ascii="Times New Roman" w:hAnsi="Times New Roman" w:cs="Times New Roman"/>
          <w:color w:val="0000FF"/>
          <w:sz w:val="22"/>
          <w:szCs w:val="22"/>
        </w:rPr>
        <w:t xml:space="preserve"> in the </w:t>
      </w:r>
      <w:r>
        <w:rPr>
          <w:rFonts w:ascii="Times New Roman" w:hAnsi="Times New Roman" w:cs="Times New Roman"/>
          <w:color w:val="0000FF"/>
          <w:sz w:val="22"/>
          <w:szCs w:val="22"/>
        </w:rPr>
        <w:t>SI</w:t>
      </w:r>
      <w:r w:rsidRPr="0020156A">
        <w:rPr>
          <w:rFonts w:ascii="Times New Roman" w:hAnsi="Times New Roman" w:cs="Times New Roman"/>
          <w:color w:val="0000FF"/>
          <w:sz w:val="22"/>
          <w:szCs w:val="22"/>
        </w:rPr>
        <w:t xml:space="preserve"> for details.</w:t>
      </w:r>
    </w:p>
    <w:p w14:paraId="5404C995" w14:textId="77777777" w:rsidR="00C9515C" w:rsidRPr="00C1384D" w:rsidRDefault="00C9515C" w:rsidP="00A31E67">
      <w:pPr>
        <w:jc w:val="both"/>
        <w:rPr>
          <w:rFonts w:ascii="Times New Roman" w:hAnsi="Times New Roman" w:cs="Times New Roman"/>
          <w:sz w:val="22"/>
          <w:szCs w:val="22"/>
        </w:rPr>
      </w:pPr>
    </w:p>
    <w:p w14:paraId="576DFD64" w14:textId="3F36DC72" w:rsidR="005B08D6" w:rsidRP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(6) The influence of temperature on emission is interesting. What are the variations of other pollutants with the changes in temperature, i.e., THC, NO</w:t>
      </w:r>
      <w:r w:rsidR="00B17AE9" w:rsidRPr="00B17AE9">
        <w:rPr>
          <w:rFonts w:ascii="Times New Roman" w:hAnsi="Times New Roman" w:cs="Times New Roman" w:hint="eastAsia"/>
          <w:sz w:val="22"/>
          <w:szCs w:val="22"/>
        </w:rPr>
        <w:t>x</w:t>
      </w:r>
      <w:r w:rsidRPr="005B08D6">
        <w:rPr>
          <w:rFonts w:ascii="Times New Roman" w:hAnsi="Times New Roman" w:cs="Times New Roman"/>
          <w:sz w:val="22"/>
          <w:szCs w:val="22"/>
        </w:rPr>
        <w:t xml:space="preserve">, CO, </w:t>
      </w:r>
      <w:proofErr w:type="spellStart"/>
      <w:r w:rsidRPr="005B08D6">
        <w:rPr>
          <w:rFonts w:ascii="Times New Roman" w:hAnsi="Times New Roman" w:cs="Times New Roman"/>
          <w:sz w:val="22"/>
          <w:szCs w:val="22"/>
        </w:rPr>
        <w:t>etc</w:t>
      </w:r>
      <w:proofErr w:type="spellEnd"/>
      <w:r w:rsidRPr="005B08D6">
        <w:rPr>
          <w:rFonts w:ascii="Times New Roman" w:hAnsi="Times New Roman" w:cs="Times New Roman"/>
          <w:sz w:val="22"/>
          <w:szCs w:val="22"/>
        </w:rPr>
        <w:t>?</w:t>
      </w:r>
    </w:p>
    <w:p w14:paraId="6B22EB45" w14:textId="77777777" w:rsidR="00A31E67" w:rsidRPr="00DC202B"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319EBD5F" w14:textId="7F7DD0EC" w:rsidR="005B08D6" w:rsidRDefault="00E93D2E" w:rsidP="00A31E67">
      <w:pPr>
        <w:jc w:val="both"/>
        <w:rPr>
          <w:rFonts w:ascii="Times New Roman" w:hAnsi="Times New Roman" w:cs="Times New Roman"/>
          <w:color w:val="0000FF"/>
          <w:sz w:val="22"/>
          <w:szCs w:val="22"/>
        </w:rPr>
      </w:pPr>
      <w:r w:rsidRPr="00E93D2E">
        <w:rPr>
          <w:rFonts w:ascii="Times New Roman" w:hAnsi="Times New Roman" w:cs="Times New Roman"/>
          <w:color w:val="0000FF"/>
          <w:sz w:val="22"/>
          <w:szCs w:val="22"/>
        </w:rPr>
        <w:t xml:space="preserve">We did find that the emissions of other pollutants from HMV </w:t>
      </w:r>
      <w:r w:rsidR="00FD2D9A">
        <w:rPr>
          <w:rFonts w:ascii="Times New Roman" w:hAnsi="Times New Roman" w:cs="Times New Roman"/>
          <w:color w:val="0000FF"/>
          <w:sz w:val="22"/>
          <w:szCs w:val="22"/>
        </w:rPr>
        <w:t>were</w:t>
      </w:r>
      <w:r w:rsidRPr="00E93D2E">
        <w:rPr>
          <w:rFonts w:ascii="Times New Roman" w:hAnsi="Times New Roman" w:cs="Times New Roman"/>
          <w:color w:val="0000FF"/>
          <w:sz w:val="22"/>
          <w:szCs w:val="22"/>
        </w:rPr>
        <w:t xml:space="preserve"> also affected by </w:t>
      </w:r>
      <w:r>
        <w:rPr>
          <w:rFonts w:ascii="Times New Roman" w:hAnsi="Times New Roman" w:cs="Times New Roman"/>
          <w:color w:val="0000FF"/>
          <w:sz w:val="22"/>
          <w:szCs w:val="22"/>
        </w:rPr>
        <w:t>low ambient</w:t>
      </w:r>
      <w:r w:rsidRPr="00E93D2E">
        <w:rPr>
          <w:rFonts w:ascii="Times New Roman" w:hAnsi="Times New Roman" w:cs="Times New Roman"/>
          <w:color w:val="0000FF"/>
          <w:sz w:val="22"/>
          <w:szCs w:val="22"/>
        </w:rPr>
        <w:t xml:space="preserve"> temperature, but this part was not mentioned in the manuscript as it is not related to the title of the article. </w:t>
      </w:r>
      <w:r w:rsidR="0066404D">
        <w:rPr>
          <w:rFonts w:ascii="Times New Roman" w:hAnsi="Times New Roman" w:cs="Times New Roman"/>
          <w:color w:val="0000FF"/>
          <w:sz w:val="22"/>
          <w:szCs w:val="22"/>
        </w:rPr>
        <w:t>T</w:t>
      </w:r>
      <w:r w:rsidRPr="00E93D2E">
        <w:rPr>
          <w:rFonts w:ascii="Times New Roman" w:hAnsi="Times New Roman" w:cs="Times New Roman"/>
          <w:color w:val="0000FF"/>
          <w:sz w:val="22"/>
          <w:szCs w:val="22"/>
        </w:rPr>
        <w:t xml:space="preserve">he low temperature caused the </w:t>
      </w:r>
      <w:r>
        <w:rPr>
          <w:rFonts w:ascii="Times New Roman" w:hAnsi="Times New Roman" w:cs="Times New Roman"/>
          <w:color w:val="0000FF"/>
          <w:sz w:val="22"/>
          <w:szCs w:val="22"/>
        </w:rPr>
        <w:t>average EFs</w:t>
      </w:r>
      <w:r w:rsidRPr="00E93D2E">
        <w:rPr>
          <w:rFonts w:ascii="Times New Roman" w:hAnsi="Times New Roman" w:cs="Times New Roman"/>
          <w:color w:val="0000FF"/>
          <w:sz w:val="22"/>
          <w:szCs w:val="22"/>
        </w:rPr>
        <w:t xml:space="preserve"> of THC </w:t>
      </w:r>
      <w:r w:rsidR="0066404D">
        <w:rPr>
          <w:rFonts w:ascii="Times New Roman" w:hAnsi="Times New Roman" w:cs="Times New Roman"/>
          <w:color w:val="0000FF"/>
          <w:sz w:val="22"/>
          <w:szCs w:val="22"/>
        </w:rPr>
        <w:t xml:space="preserve">(NOx, </w:t>
      </w:r>
      <w:r w:rsidRPr="00E93D2E">
        <w:rPr>
          <w:rFonts w:ascii="Times New Roman" w:hAnsi="Times New Roman" w:cs="Times New Roman"/>
          <w:color w:val="0000FF"/>
          <w:sz w:val="22"/>
          <w:szCs w:val="22"/>
        </w:rPr>
        <w:t>CO</w:t>
      </w:r>
      <w:r w:rsidR="0066404D">
        <w:rPr>
          <w:rFonts w:ascii="Times New Roman" w:hAnsi="Times New Roman" w:cs="Times New Roman"/>
          <w:color w:val="0000FF"/>
          <w:sz w:val="22"/>
          <w:szCs w:val="22"/>
        </w:rPr>
        <w:t>)</w:t>
      </w:r>
      <w:r w:rsidRPr="00E93D2E">
        <w:rPr>
          <w:rFonts w:ascii="Times New Roman" w:hAnsi="Times New Roman" w:cs="Times New Roman"/>
          <w:color w:val="0000FF"/>
          <w:sz w:val="22"/>
          <w:szCs w:val="22"/>
        </w:rPr>
        <w:t xml:space="preserve"> to increase from 289</w:t>
      </w:r>
      <w:r>
        <w:rPr>
          <w:rFonts w:ascii="Times New Roman" w:hAnsi="Times New Roman" w:cs="Times New Roman"/>
          <w:color w:val="0000FF"/>
          <w:sz w:val="22"/>
          <w:szCs w:val="22"/>
        </w:rPr>
        <w:t xml:space="preserve"> mg</w:t>
      </w:r>
      <w:r>
        <w:rPr>
          <w:rFonts w:ascii="Times New Roman" w:hAnsi="Times New Roman" w:cs="Times New Roman" w:hint="eastAsia"/>
          <w:color w:val="0000FF"/>
          <w:sz w:val="22"/>
          <w:szCs w:val="22"/>
        </w:rPr>
        <w:t>·</w:t>
      </w:r>
      <w:r>
        <w:rPr>
          <w:rFonts w:ascii="Times New Roman" w:hAnsi="Times New Roman" w:cs="Times New Roman"/>
          <w:color w:val="0000FF"/>
          <w:sz w:val="22"/>
          <w:szCs w:val="22"/>
        </w:rPr>
        <w:t>km</w:t>
      </w:r>
      <w:r w:rsidRPr="00E93D2E">
        <w:rPr>
          <w:rFonts w:ascii="Times New Roman" w:hAnsi="Times New Roman" w:cs="Times New Roman"/>
          <w:color w:val="0000FF"/>
          <w:sz w:val="22"/>
          <w:szCs w:val="22"/>
          <w:vertAlign w:val="superscript"/>
        </w:rPr>
        <w:t>-1</w:t>
      </w:r>
      <w:r w:rsidRPr="00E93D2E">
        <w:rPr>
          <w:rFonts w:ascii="Times New Roman" w:hAnsi="Times New Roman" w:cs="Times New Roman"/>
          <w:color w:val="0000FF"/>
          <w:sz w:val="22"/>
          <w:szCs w:val="22"/>
        </w:rPr>
        <w:t xml:space="preserve"> </w:t>
      </w:r>
      <w:r w:rsidR="0066404D">
        <w:rPr>
          <w:rFonts w:ascii="Times New Roman" w:hAnsi="Times New Roman" w:cs="Times New Roman"/>
          <w:color w:val="0000FF"/>
          <w:sz w:val="22"/>
          <w:szCs w:val="22"/>
        </w:rPr>
        <w:t>(2629 mg</w:t>
      </w:r>
      <w:r w:rsidR="0066404D">
        <w:rPr>
          <w:rFonts w:ascii="Times New Roman" w:hAnsi="Times New Roman" w:cs="Times New Roman" w:hint="eastAsia"/>
          <w:color w:val="0000FF"/>
          <w:sz w:val="22"/>
          <w:szCs w:val="22"/>
        </w:rPr>
        <w:t>·</w:t>
      </w:r>
      <w:r w:rsidR="0066404D">
        <w:rPr>
          <w:rFonts w:ascii="Times New Roman" w:hAnsi="Times New Roman" w:cs="Times New Roman"/>
          <w:color w:val="0000FF"/>
          <w:sz w:val="22"/>
          <w:szCs w:val="22"/>
        </w:rPr>
        <w:t>km</w:t>
      </w:r>
      <w:r w:rsidR="0066404D" w:rsidRPr="00E93D2E">
        <w:rPr>
          <w:rFonts w:ascii="Times New Roman" w:hAnsi="Times New Roman" w:cs="Times New Roman"/>
          <w:color w:val="0000FF"/>
          <w:sz w:val="22"/>
          <w:szCs w:val="22"/>
          <w:vertAlign w:val="superscript"/>
        </w:rPr>
        <w:t>-1</w:t>
      </w:r>
      <w:r w:rsidR="0066404D">
        <w:rPr>
          <w:rFonts w:ascii="Times New Roman" w:hAnsi="Times New Roman" w:cs="Times New Roman"/>
          <w:color w:val="0000FF"/>
          <w:sz w:val="22"/>
          <w:szCs w:val="22"/>
        </w:rPr>
        <w:t xml:space="preserve">, </w:t>
      </w:r>
      <w:r w:rsidRPr="00E93D2E">
        <w:rPr>
          <w:rFonts w:ascii="Times New Roman" w:hAnsi="Times New Roman" w:cs="Times New Roman"/>
          <w:color w:val="0000FF"/>
          <w:sz w:val="22"/>
          <w:szCs w:val="22"/>
        </w:rPr>
        <w:t>359</w:t>
      </w:r>
      <w:r>
        <w:rPr>
          <w:rFonts w:ascii="Times New Roman" w:hAnsi="Times New Roman" w:cs="Times New Roman"/>
          <w:color w:val="0000FF"/>
          <w:sz w:val="22"/>
          <w:szCs w:val="22"/>
        </w:rPr>
        <w:t xml:space="preserve"> mg</w:t>
      </w:r>
      <w:r>
        <w:rPr>
          <w:rFonts w:ascii="Times New Roman" w:hAnsi="Times New Roman" w:cs="Times New Roman" w:hint="eastAsia"/>
          <w:color w:val="0000FF"/>
          <w:sz w:val="22"/>
          <w:szCs w:val="22"/>
        </w:rPr>
        <w:t>·</w:t>
      </w:r>
      <w:r>
        <w:rPr>
          <w:rFonts w:ascii="Times New Roman" w:hAnsi="Times New Roman" w:cs="Times New Roman"/>
          <w:color w:val="0000FF"/>
          <w:sz w:val="22"/>
          <w:szCs w:val="22"/>
        </w:rPr>
        <w:t>km</w:t>
      </w:r>
      <w:r w:rsidRPr="00E93D2E">
        <w:rPr>
          <w:rFonts w:ascii="Times New Roman" w:hAnsi="Times New Roman" w:cs="Times New Roman"/>
          <w:color w:val="0000FF"/>
          <w:sz w:val="22"/>
          <w:szCs w:val="22"/>
          <w:vertAlign w:val="superscript"/>
        </w:rPr>
        <w:t>-1</w:t>
      </w:r>
      <w:r w:rsidR="0066404D">
        <w:rPr>
          <w:rFonts w:ascii="Times New Roman" w:hAnsi="Times New Roman" w:cs="Times New Roman"/>
          <w:color w:val="0000FF"/>
          <w:sz w:val="22"/>
          <w:szCs w:val="22"/>
        </w:rPr>
        <w:t>)</w:t>
      </w:r>
      <w:r w:rsidRPr="00E93D2E">
        <w:rPr>
          <w:rFonts w:ascii="Times New Roman" w:hAnsi="Times New Roman" w:cs="Times New Roman"/>
          <w:color w:val="0000FF"/>
          <w:sz w:val="22"/>
          <w:szCs w:val="22"/>
        </w:rPr>
        <w:t xml:space="preserve"> to 302</w:t>
      </w:r>
      <w:r>
        <w:rPr>
          <w:rFonts w:ascii="Times New Roman" w:hAnsi="Times New Roman" w:cs="Times New Roman"/>
          <w:color w:val="0000FF"/>
          <w:sz w:val="22"/>
          <w:szCs w:val="22"/>
        </w:rPr>
        <w:t xml:space="preserve"> mg</w:t>
      </w:r>
      <w:r>
        <w:rPr>
          <w:rFonts w:ascii="Times New Roman" w:hAnsi="Times New Roman" w:cs="Times New Roman" w:hint="eastAsia"/>
          <w:color w:val="0000FF"/>
          <w:sz w:val="22"/>
          <w:szCs w:val="22"/>
        </w:rPr>
        <w:t>·</w:t>
      </w:r>
      <w:r>
        <w:rPr>
          <w:rFonts w:ascii="Times New Roman" w:hAnsi="Times New Roman" w:cs="Times New Roman"/>
          <w:color w:val="0000FF"/>
          <w:sz w:val="22"/>
          <w:szCs w:val="22"/>
        </w:rPr>
        <w:t>km</w:t>
      </w:r>
      <w:r w:rsidRPr="00E93D2E">
        <w:rPr>
          <w:rFonts w:ascii="Times New Roman" w:hAnsi="Times New Roman" w:cs="Times New Roman"/>
          <w:color w:val="0000FF"/>
          <w:sz w:val="22"/>
          <w:szCs w:val="22"/>
          <w:vertAlign w:val="superscript"/>
        </w:rPr>
        <w:t>-1</w:t>
      </w:r>
      <w:r w:rsidRPr="00E93D2E">
        <w:rPr>
          <w:rFonts w:ascii="Times New Roman" w:hAnsi="Times New Roman" w:cs="Times New Roman"/>
          <w:color w:val="0000FF"/>
          <w:sz w:val="22"/>
          <w:szCs w:val="22"/>
        </w:rPr>
        <w:t xml:space="preserve"> </w:t>
      </w:r>
      <w:r w:rsidR="0066404D">
        <w:rPr>
          <w:rFonts w:ascii="Times New Roman" w:hAnsi="Times New Roman" w:cs="Times New Roman"/>
          <w:color w:val="0000FF"/>
          <w:sz w:val="22"/>
          <w:szCs w:val="22"/>
        </w:rPr>
        <w:t>(3555</w:t>
      </w:r>
      <w:r w:rsidR="00EA3FC4">
        <w:rPr>
          <w:rFonts w:ascii="Times New Roman" w:hAnsi="Times New Roman" w:cs="Times New Roman"/>
          <w:color w:val="0000FF"/>
          <w:sz w:val="22"/>
          <w:szCs w:val="22"/>
        </w:rPr>
        <w:t xml:space="preserve"> mg</w:t>
      </w:r>
      <w:r w:rsidR="00EA3FC4">
        <w:rPr>
          <w:rFonts w:ascii="Times New Roman" w:hAnsi="Times New Roman" w:cs="Times New Roman" w:hint="eastAsia"/>
          <w:color w:val="0000FF"/>
          <w:sz w:val="22"/>
          <w:szCs w:val="22"/>
        </w:rPr>
        <w:t>·</w:t>
      </w:r>
      <w:r w:rsidR="00EA3FC4">
        <w:rPr>
          <w:rFonts w:ascii="Times New Roman" w:hAnsi="Times New Roman" w:cs="Times New Roman"/>
          <w:color w:val="0000FF"/>
          <w:sz w:val="22"/>
          <w:szCs w:val="22"/>
        </w:rPr>
        <w:t>km</w:t>
      </w:r>
      <w:r w:rsidR="00EA3FC4" w:rsidRPr="00E93D2E">
        <w:rPr>
          <w:rFonts w:ascii="Times New Roman" w:hAnsi="Times New Roman" w:cs="Times New Roman"/>
          <w:color w:val="0000FF"/>
          <w:sz w:val="22"/>
          <w:szCs w:val="22"/>
          <w:vertAlign w:val="superscript"/>
        </w:rPr>
        <w:t>-1</w:t>
      </w:r>
      <w:r w:rsidR="0066404D">
        <w:rPr>
          <w:rFonts w:ascii="Times New Roman" w:hAnsi="Times New Roman" w:cs="Times New Roman"/>
          <w:color w:val="0000FF"/>
          <w:sz w:val="22"/>
          <w:szCs w:val="22"/>
        </w:rPr>
        <w:t>,</w:t>
      </w:r>
      <w:r w:rsidRPr="00E93D2E">
        <w:rPr>
          <w:rFonts w:ascii="Times New Roman" w:hAnsi="Times New Roman" w:cs="Times New Roman"/>
          <w:color w:val="0000FF"/>
          <w:sz w:val="22"/>
          <w:szCs w:val="22"/>
        </w:rPr>
        <w:t xml:space="preserve"> 404</w:t>
      </w:r>
      <w:r>
        <w:rPr>
          <w:rFonts w:ascii="Times New Roman" w:hAnsi="Times New Roman" w:cs="Times New Roman"/>
          <w:color w:val="0000FF"/>
          <w:sz w:val="22"/>
          <w:szCs w:val="22"/>
        </w:rPr>
        <w:t xml:space="preserve"> mg</w:t>
      </w:r>
      <w:r>
        <w:rPr>
          <w:rFonts w:ascii="Times New Roman" w:hAnsi="Times New Roman" w:cs="Times New Roman" w:hint="eastAsia"/>
          <w:color w:val="0000FF"/>
          <w:sz w:val="22"/>
          <w:szCs w:val="22"/>
        </w:rPr>
        <w:t>·</w:t>
      </w:r>
      <w:r>
        <w:rPr>
          <w:rFonts w:ascii="Times New Roman" w:hAnsi="Times New Roman" w:cs="Times New Roman"/>
          <w:color w:val="0000FF"/>
          <w:sz w:val="22"/>
          <w:szCs w:val="22"/>
        </w:rPr>
        <w:t>km</w:t>
      </w:r>
      <w:r w:rsidRPr="00E93D2E">
        <w:rPr>
          <w:rFonts w:ascii="Times New Roman" w:hAnsi="Times New Roman" w:cs="Times New Roman"/>
          <w:color w:val="0000FF"/>
          <w:sz w:val="22"/>
          <w:szCs w:val="22"/>
          <w:vertAlign w:val="superscript"/>
        </w:rPr>
        <w:t>-1</w:t>
      </w:r>
      <w:r w:rsidR="0066404D">
        <w:rPr>
          <w:rFonts w:ascii="Times New Roman" w:hAnsi="Times New Roman" w:cs="Times New Roman"/>
          <w:color w:val="0000FF"/>
          <w:sz w:val="22"/>
          <w:szCs w:val="22"/>
        </w:rPr>
        <w:t>)</w:t>
      </w:r>
      <w:r>
        <w:rPr>
          <w:rFonts w:ascii="Times New Roman" w:hAnsi="Times New Roman" w:cs="Times New Roman"/>
          <w:color w:val="0000FF"/>
          <w:sz w:val="22"/>
          <w:szCs w:val="22"/>
        </w:rPr>
        <w:t>.</w:t>
      </w:r>
      <w:r w:rsidR="00EA3FC4">
        <w:rPr>
          <w:rFonts w:ascii="Times New Roman" w:hAnsi="Times New Roman" w:cs="Times New Roman"/>
          <w:color w:val="0000FF"/>
          <w:sz w:val="22"/>
          <w:szCs w:val="22"/>
        </w:rPr>
        <w:t xml:space="preserve"> However, the reasons for </w:t>
      </w:r>
      <w:r w:rsidR="00FD2D9A">
        <w:rPr>
          <w:rFonts w:ascii="Times New Roman" w:hAnsi="Times New Roman" w:cs="Times New Roman"/>
          <w:color w:val="0000FF"/>
          <w:sz w:val="22"/>
          <w:szCs w:val="22"/>
        </w:rPr>
        <w:t xml:space="preserve">their increase in EFs </w:t>
      </w:r>
      <w:r w:rsidR="00EA3FC4">
        <w:rPr>
          <w:rFonts w:ascii="Times New Roman" w:hAnsi="Times New Roman" w:cs="Times New Roman"/>
          <w:color w:val="0000FF"/>
          <w:sz w:val="22"/>
          <w:szCs w:val="22"/>
        </w:rPr>
        <w:t xml:space="preserve">were different. THC and CO are the </w:t>
      </w:r>
      <w:r w:rsidR="00CC7820">
        <w:rPr>
          <w:rFonts w:ascii="Times New Roman" w:hAnsi="Times New Roman" w:cs="Times New Roman"/>
          <w:color w:val="0000FF"/>
          <w:sz w:val="22"/>
          <w:szCs w:val="22"/>
        </w:rPr>
        <w:t>by-products of incomplete combustion of diesel, and thus their EFs are directly related to MCE. T</w:t>
      </w:r>
      <w:r w:rsidR="00CC7820">
        <w:rPr>
          <w:rFonts w:ascii="Times New Roman" w:hAnsi="Times New Roman" w:cs="Times New Roman" w:hint="eastAsia"/>
          <w:color w:val="0000FF"/>
          <w:sz w:val="22"/>
          <w:szCs w:val="22"/>
        </w:rPr>
        <w:t>h</w:t>
      </w:r>
      <w:r w:rsidR="00CC7820">
        <w:rPr>
          <w:rFonts w:ascii="Times New Roman" w:hAnsi="Times New Roman" w:cs="Times New Roman"/>
          <w:color w:val="0000FF"/>
          <w:sz w:val="22"/>
          <w:szCs w:val="22"/>
        </w:rPr>
        <w:t xml:space="preserve">e EF of NOx is related to the treatment efficiency of the </w:t>
      </w:r>
      <w:r w:rsidR="00CC7820" w:rsidRPr="00CC7820">
        <w:rPr>
          <w:rFonts w:ascii="Times New Roman" w:hAnsi="Times New Roman" w:cs="Times New Roman"/>
          <w:color w:val="0000FF"/>
          <w:sz w:val="22"/>
          <w:szCs w:val="22"/>
        </w:rPr>
        <w:t>selective catalytic reduction (SCR) system</w:t>
      </w:r>
      <w:r w:rsidR="00CC7820">
        <w:rPr>
          <w:rFonts w:ascii="Times New Roman" w:hAnsi="Times New Roman" w:cs="Times New Roman"/>
          <w:color w:val="0000FF"/>
          <w:sz w:val="22"/>
          <w:szCs w:val="22"/>
        </w:rPr>
        <w:t>, whose ammonia aqueous solution may partially solidify at 0</w:t>
      </w:r>
      <w:r w:rsidR="00CC7820">
        <w:rPr>
          <w:rFonts w:ascii="Times New Roman" w:hAnsi="Times New Roman" w:cs="Times New Roman" w:hint="eastAsia"/>
          <w:color w:val="0000FF"/>
          <w:sz w:val="22"/>
          <w:szCs w:val="22"/>
        </w:rPr>
        <w:t>°</w:t>
      </w:r>
      <w:r w:rsidR="00CC7820">
        <w:rPr>
          <w:rFonts w:ascii="Times New Roman" w:hAnsi="Times New Roman" w:cs="Times New Roman"/>
          <w:color w:val="0000FF"/>
          <w:sz w:val="22"/>
          <w:szCs w:val="22"/>
        </w:rPr>
        <w:t>C thereby reducing the</w:t>
      </w:r>
      <w:r w:rsidR="00CF70BC">
        <w:rPr>
          <w:rFonts w:ascii="Times New Roman" w:hAnsi="Times New Roman" w:cs="Times New Roman"/>
          <w:color w:val="0000FF"/>
          <w:sz w:val="22"/>
          <w:szCs w:val="22"/>
        </w:rPr>
        <w:t xml:space="preserve"> reaction</w:t>
      </w:r>
      <w:r w:rsidR="00CC7820">
        <w:rPr>
          <w:rFonts w:ascii="Times New Roman" w:hAnsi="Times New Roman" w:cs="Times New Roman"/>
          <w:color w:val="0000FF"/>
          <w:sz w:val="22"/>
          <w:szCs w:val="22"/>
        </w:rPr>
        <w:t xml:space="preserve"> efficiency of </w:t>
      </w:r>
      <w:r w:rsidR="00CF70BC">
        <w:rPr>
          <w:rFonts w:ascii="Times New Roman" w:hAnsi="Times New Roman" w:cs="Times New Roman"/>
          <w:color w:val="0000FF"/>
          <w:sz w:val="22"/>
          <w:szCs w:val="22"/>
        </w:rPr>
        <w:t xml:space="preserve">NOx in </w:t>
      </w:r>
      <w:r w:rsidR="00CC7820">
        <w:rPr>
          <w:rFonts w:ascii="Times New Roman" w:hAnsi="Times New Roman" w:cs="Times New Roman"/>
          <w:color w:val="0000FF"/>
          <w:sz w:val="22"/>
          <w:szCs w:val="22"/>
        </w:rPr>
        <w:t>SCR</w:t>
      </w:r>
      <w:r w:rsidR="00CF70BC">
        <w:rPr>
          <w:rFonts w:ascii="Times New Roman" w:hAnsi="Times New Roman" w:cs="Times New Roman"/>
          <w:color w:val="0000FF"/>
          <w:sz w:val="22"/>
          <w:szCs w:val="22"/>
        </w:rPr>
        <w:t>.</w:t>
      </w:r>
      <w:r w:rsidR="006E2A9B">
        <w:rPr>
          <w:rFonts w:ascii="Times New Roman" w:hAnsi="Times New Roman" w:cs="Times New Roman"/>
          <w:color w:val="0000FF"/>
          <w:sz w:val="22"/>
          <w:szCs w:val="22"/>
        </w:rPr>
        <w:t xml:space="preserve"> </w:t>
      </w:r>
      <w:r w:rsidR="00FD2D9A">
        <w:rPr>
          <w:rFonts w:ascii="Times New Roman" w:hAnsi="Times New Roman" w:cs="Times New Roman"/>
          <w:color w:val="0000FF"/>
          <w:sz w:val="22"/>
          <w:szCs w:val="22"/>
        </w:rPr>
        <w:t>T</w:t>
      </w:r>
      <w:r w:rsidR="00FD2D9A">
        <w:rPr>
          <w:rFonts w:ascii="Times New Roman" w:hAnsi="Times New Roman" w:cs="Times New Roman" w:hint="eastAsia"/>
          <w:color w:val="0000FF"/>
          <w:sz w:val="22"/>
          <w:szCs w:val="22"/>
        </w:rPr>
        <w:t>h</w:t>
      </w:r>
      <w:r w:rsidR="00FD2D9A">
        <w:rPr>
          <w:rFonts w:ascii="Times New Roman" w:hAnsi="Times New Roman" w:cs="Times New Roman"/>
          <w:color w:val="0000FF"/>
          <w:sz w:val="22"/>
          <w:szCs w:val="22"/>
        </w:rPr>
        <w:t>e same emission change pattern of these conventional pollutants was found in LMV. The detailed data is shown in the table below, which has been supplemented in SI.</w:t>
      </w:r>
    </w:p>
    <w:p w14:paraId="29638F20" w14:textId="2C2AB423" w:rsidR="00C1384D" w:rsidRDefault="00C1384D" w:rsidP="00A31E67">
      <w:pPr>
        <w:jc w:val="both"/>
        <w:rPr>
          <w:rFonts w:ascii="Times New Roman" w:hAnsi="Times New Roman" w:cs="Times New Roman"/>
          <w:color w:val="0000FF"/>
          <w:sz w:val="22"/>
          <w:szCs w:val="22"/>
        </w:rPr>
      </w:pPr>
      <w:bookmarkStart w:id="3" w:name="_Hlk186225857"/>
      <w:r>
        <w:rPr>
          <w:rFonts w:ascii="Times New Roman" w:hAnsi="Times New Roman" w:cs="Times New Roman"/>
          <w:color w:val="0000FF"/>
          <w:sz w:val="22"/>
          <w:szCs w:val="22"/>
        </w:rPr>
        <w:t>“</w:t>
      </w:r>
      <w:r w:rsidR="006E2A9B" w:rsidRPr="00C1384D">
        <w:rPr>
          <w:rFonts w:ascii="Times New Roman" w:hAnsi="Times New Roman" w:cs="Times New Roman" w:hint="eastAsia"/>
          <w:color w:val="FF0000"/>
          <w:sz w:val="22"/>
          <w:szCs w:val="22"/>
        </w:rPr>
        <w:t>T</w:t>
      </w:r>
      <w:r w:rsidR="006E2A9B" w:rsidRPr="00C1384D">
        <w:rPr>
          <w:rFonts w:ascii="Times New Roman" w:hAnsi="Times New Roman" w:cs="Times New Roman"/>
          <w:color w:val="FF0000"/>
          <w:sz w:val="22"/>
          <w:szCs w:val="22"/>
        </w:rPr>
        <w:t xml:space="preserve">able </w:t>
      </w:r>
      <w:r w:rsidR="00A15BAF" w:rsidRPr="00C1384D">
        <w:rPr>
          <w:rFonts w:ascii="Times New Roman" w:hAnsi="Times New Roman" w:cs="Times New Roman"/>
          <w:color w:val="FF0000"/>
          <w:sz w:val="22"/>
          <w:szCs w:val="22"/>
        </w:rPr>
        <w:t>S</w:t>
      </w:r>
      <w:r w:rsidR="00A15BAF">
        <w:rPr>
          <w:rFonts w:ascii="Times New Roman" w:hAnsi="Times New Roman" w:cs="Times New Roman"/>
          <w:color w:val="FF0000"/>
          <w:sz w:val="22"/>
          <w:szCs w:val="22"/>
        </w:rPr>
        <w:t>3</w:t>
      </w:r>
      <w:r w:rsidR="006E2A9B" w:rsidRPr="00C1384D">
        <w:rPr>
          <w:rFonts w:ascii="Times New Roman" w:hAnsi="Times New Roman" w:cs="Times New Roman"/>
          <w:color w:val="FF0000"/>
          <w:sz w:val="22"/>
          <w:szCs w:val="22"/>
        </w:rPr>
        <w:t xml:space="preserve">. </w:t>
      </w:r>
      <w:r w:rsidR="00FD2D9A">
        <w:rPr>
          <w:rFonts w:ascii="Times New Roman" w:hAnsi="Times New Roman" w:cs="Times New Roman"/>
          <w:color w:val="FF0000"/>
          <w:sz w:val="22"/>
          <w:szCs w:val="22"/>
        </w:rPr>
        <w:t xml:space="preserve">Average </w:t>
      </w:r>
      <w:r w:rsidR="006E2A9B">
        <w:rPr>
          <w:rFonts w:ascii="Times New Roman" w:hAnsi="Times New Roman" w:cs="Times New Roman"/>
          <w:color w:val="FF0000"/>
          <w:sz w:val="22"/>
          <w:szCs w:val="22"/>
        </w:rPr>
        <w:t>T</w:t>
      </w:r>
      <w:r w:rsidR="006E2A9B">
        <w:rPr>
          <w:rFonts w:ascii="Times New Roman" w:hAnsi="Times New Roman" w:cs="Times New Roman" w:hint="eastAsia"/>
          <w:color w:val="FF0000"/>
          <w:sz w:val="22"/>
          <w:szCs w:val="22"/>
        </w:rPr>
        <w:t>H</w:t>
      </w:r>
      <w:r w:rsidR="006E2A9B">
        <w:rPr>
          <w:rFonts w:ascii="Times New Roman" w:hAnsi="Times New Roman" w:cs="Times New Roman"/>
          <w:color w:val="FF0000"/>
          <w:sz w:val="22"/>
          <w:szCs w:val="22"/>
        </w:rPr>
        <w:t>C, NO</w:t>
      </w:r>
      <w:r w:rsidR="006E2A9B">
        <w:rPr>
          <w:rFonts w:ascii="Times New Roman" w:hAnsi="Times New Roman" w:cs="Times New Roman" w:hint="eastAsia"/>
          <w:color w:val="FF0000"/>
          <w:sz w:val="22"/>
          <w:szCs w:val="22"/>
        </w:rPr>
        <w:t>x</w:t>
      </w:r>
      <w:r w:rsidR="006E2A9B">
        <w:rPr>
          <w:rFonts w:ascii="Times New Roman" w:hAnsi="Times New Roman" w:cs="Times New Roman"/>
          <w:color w:val="FF0000"/>
          <w:sz w:val="22"/>
          <w:szCs w:val="22"/>
        </w:rPr>
        <w:t>, and CO EFs</w:t>
      </w:r>
      <w:r w:rsidR="00FD2D9A">
        <w:rPr>
          <w:rFonts w:ascii="Times New Roman" w:hAnsi="Times New Roman" w:cs="Times New Roman"/>
          <w:color w:val="FF0000"/>
          <w:sz w:val="22"/>
          <w:szCs w:val="22"/>
        </w:rPr>
        <w:t xml:space="preserve"> for LMV and HMV, respectively</w:t>
      </w:r>
      <w:r w:rsidR="006E2A9B" w:rsidRPr="00C1384D">
        <w:rPr>
          <w:rFonts w:ascii="Times New Roman" w:hAnsi="Times New Roman" w:cs="Times New Roman"/>
          <w:color w:val="FF0000"/>
          <w:sz w:val="22"/>
          <w:szCs w:val="22"/>
        </w:rPr>
        <w:t>.</w:t>
      </w:r>
    </w:p>
    <w:tbl>
      <w:tblPr>
        <w:tblStyle w:val="61"/>
        <w:tblW w:w="0" w:type="auto"/>
        <w:tblLook w:val="04A0" w:firstRow="1" w:lastRow="0" w:firstColumn="1" w:lastColumn="0" w:noHBand="0" w:noVBand="1"/>
      </w:tblPr>
      <w:tblGrid>
        <w:gridCol w:w="893"/>
        <w:gridCol w:w="1934"/>
        <w:gridCol w:w="1934"/>
        <w:gridCol w:w="1934"/>
        <w:gridCol w:w="1935"/>
      </w:tblGrid>
      <w:tr w:rsidR="00ED0902" w:rsidRPr="00ED0902" w14:paraId="1A7B365C" w14:textId="77777777" w:rsidTr="007C76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tcBorders>
              <w:top w:val="single" w:sz="8" w:space="0" w:color="000000" w:themeColor="text1"/>
            </w:tcBorders>
            <w:vAlign w:val="center"/>
          </w:tcPr>
          <w:p w14:paraId="46880686" w14:textId="77777777" w:rsidR="00ED0902" w:rsidRPr="00ED0902" w:rsidRDefault="00ED0902" w:rsidP="007C76EA">
            <w:pPr>
              <w:jc w:val="center"/>
              <w:rPr>
                <w:rFonts w:ascii="Times New Roman" w:hAnsi="Times New Roman" w:cs="Times New Roman"/>
                <w:color w:val="FF0000"/>
                <w:sz w:val="22"/>
                <w:szCs w:val="22"/>
              </w:rPr>
            </w:pPr>
            <w:r w:rsidRPr="00ED0902">
              <w:rPr>
                <w:rFonts w:ascii="Times New Roman" w:hAnsi="Times New Roman" w:cs="Times New Roman"/>
                <w:color w:val="FF0000"/>
                <w:sz w:val="22"/>
                <w:szCs w:val="22"/>
              </w:rPr>
              <w:t>Vehicle</w:t>
            </w:r>
          </w:p>
        </w:tc>
        <w:tc>
          <w:tcPr>
            <w:tcW w:w="1934" w:type="dxa"/>
            <w:tcBorders>
              <w:top w:val="single" w:sz="8" w:space="0" w:color="000000" w:themeColor="text1"/>
            </w:tcBorders>
            <w:vAlign w:val="center"/>
          </w:tcPr>
          <w:p w14:paraId="6B6F0C55" w14:textId="3308FB09" w:rsidR="00ED0902" w:rsidRPr="00ED0902" w:rsidRDefault="00E86DCE" w:rsidP="007C76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T</w:t>
            </w:r>
            <w:r>
              <w:rPr>
                <w:rFonts w:ascii="Times New Roman" w:hAnsi="Times New Roman" w:cs="Times New Roman" w:hint="eastAsia"/>
                <w:color w:val="FF0000"/>
                <w:sz w:val="22"/>
                <w:szCs w:val="22"/>
              </w:rPr>
              <w:t>e</w:t>
            </w:r>
            <w:r>
              <w:rPr>
                <w:rFonts w:ascii="Times New Roman" w:hAnsi="Times New Roman" w:cs="Times New Roman"/>
                <w:color w:val="FF0000"/>
                <w:sz w:val="22"/>
                <w:szCs w:val="22"/>
              </w:rPr>
              <w:t>st Cycle</w:t>
            </w:r>
          </w:p>
        </w:tc>
        <w:tc>
          <w:tcPr>
            <w:tcW w:w="1934" w:type="dxa"/>
            <w:tcBorders>
              <w:top w:val="single" w:sz="8" w:space="0" w:color="000000" w:themeColor="text1"/>
            </w:tcBorders>
            <w:vAlign w:val="center"/>
          </w:tcPr>
          <w:p w14:paraId="1E3907ED" w14:textId="77777777" w:rsidR="00ED0902" w:rsidRPr="00ED0902" w:rsidRDefault="00ED0902" w:rsidP="007C76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T</w:t>
            </w:r>
            <w:r w:rsidRPr="00ED0902">
              <w:rPr>
                <w:rFonts w:ascii="Times New Roman" w:hAnsi="Times New Roman" w:cs="Times New Roman"/>
                <w:color w:val="FF0000"/>
                <w:sz w:val="22"/>
                <w:szCs w:val="22"/>
              </w:rPr>
              <w:t>HC (mg</w:t>
            </w:r>
            <w:r w:rsidRPr="00ED0902">
              <w:rPr>
                <w:rFonts w:ascii="Times New Roman" w:hAnsi="Times New Roman" w:cs="Times New Roman" w:hint="eastAsia"/>
                <w:color w:val="FF0000"/>
                <w:sz w:val="22"/>
                <w:szCs w:val="22"/>
              </w:rPr>
              <w:t>·</w:t>
            </w:r>
            <w:r w:rsidRPr="00ED0902">
              <w:rPr>
                <w:rFonts w:ascii="Times New Roman" w:hAnsi="Times New Roman" w:cs="Times New Roman"/>
                <w:color w:val="FF0000"/>
                <w:sz w:val="22"/>
                <w:szCs w:val="22"/>
              </w:rPr>
              <w:t>km</w:t>
            </w:r>
            <w:r w:rsidRPr="00ED0902">
              <w:rPr>
                <w:rFonts w:ascii="Times New Roman" w:hAnsi="Times New Roman" w:cs="Times New Roman"/>
                <w:color w:val="FF0000"/>
                <w:sz w:val="22"/>
                <w:szCs w:val="22"/>
                <w:vertAlign w:val="superscript"/>
              </w:rPr>
              <w:t>-1</w:t>
            </w:r>
            <w:r w:rsidRPr="00ED0902">
              <w:rPr>
                <w:rFonts w:ascii="Times New Roman" w:hAnsi="Times New Roman" w:cs="Times New Roman"/>
                <w:color w:val="FF0000"/>
                <w:sz w:val="22"/>
                <w:szCs w:val="22"/>
              </w:rPr>
              <w:t>)</w:t>
            </w:r>
          </w:p>
        </w:tc>
        <w:tc>
          <w:tcPr>
            <w:tcW w:w="1934" w:type="dxa"/>
            <w:tcBorders>
              <w:top w:val="single" w:sz="8" w:space="0" w:color="000000" w:themeColor="text1"/>
            </w:tcBorders>
            <w:vAlign w:val="center"/>
          </w:tcPr>
          <w:p w14:paraId="0CF1CA12" w14:textId="77777777" w:rsidR="00ED0902" w:rsidRPr="00ED0902" w:rsidRDefault="00ED0902" w:rsidP="007C76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color w:val="FF0000"/>
                <w:sz w:val="22"/>
                <w:szCs w:val="22"/>
              </w:rPr>
              <w:t>NOx (mg</w:t>
            </w:r>
            <w:r w:rsidRPr="00ED0902">
              <w:rPr>
                <w:rFonts w:ascii="Times New Roman" w:hAnsi="Times New Roman" w:cs="Times New Roman" w:hint="eastAsia"/>
                <w:color w:val="FF0000"/>
                <w:sz w:val="22"/>
                <w:szCs w:val="22"/>
              </w:rPr>
              <w:t>·</w:t>
            </w:r>
            <w:r w:rsidRPr="00ED0902">
              <w:rPr>
                <w:rFonts w:ascii="Times New Roman" w:hAnsi="Times New Roman" w:cs="Times New Roman"/>
                <w:color w:val="FF0000"/>
                <w:sz w:val="22"/>
                <w:szCs w:val="22"/>
              </w:rPr>
              <w:t>km</w:t>
            </w:r>
            <w:r w:rsidRPr="00ED0902">
              <w:rPr>
                <w:rFonts w:ascii="Times New Roman" w:hAnsi="Times New Roman" w:cs="Times New Roman"/>
                <w:color w:val="FF0000"/>
                <w:sz w:val="22"/>
                <w:szCs w:val="22"/>
                <w:vertAlign w:val="superscript"/>
              </w:rPr>
              <w:t>-1</w:t>
            </w:r>
            <w:r w:rsidRPr="00ED0902">
              <w:rPr>
                <w:rFonts w:ascii="Times New Roman" w:hAnsi="Times New Roman" w:cs="Times New Roman"/>
                <w:color w:val="FF0000"/>
                <w:sz w:val="22"/>
                <w:szCs w:val="22"/>
              </w:rPr>
              <w:t>)</w:t>
            </w:r>
          </w:p>
        </w:tc>
        <w:tc>
          <w:tcPr>
            <w:tcW w:w="1935" w:type="dxa"/>
            <w:tcBorders>
              <w:top w:val="single" w:sz="8" w:space="0" w:color="000000" w:themeColor="text1"/>
            </w:tcBorders>
            <w:vAlign w:val="center"/>
          </w:tcPr>
          <w:p w14:paraId="32E1C625" w14:textId="77777777" w:rsidR="00ED0902" w:rsidRPr="00ED0902" w:rsidRDefault="00ED0902" w:rsidP="007C76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C</w:t>
            </w:r>
            <w:r w:rsidRPr="00ED0902">
              <w:rPr>
                <w:rFonts w:ascii="Times New Roman" w:hAnsi="Times New Roman" w:cs="Times New Roman"/>
                <w:color w:val="FF0000"/>
                <w:sz w:val="22"/>
                <w:szCs w:val="22"/>
              </w:rPr>
              <w:t>O (mg</w:t>
            </w:r>
            <w:r w:rsidRPr="00ED0902">
              <w:rPr>
                <w:rFonts w:ascii="Times New Roman" w:hAnsi="Times New Roman" w:cs="Times New Roman" w:hint="eastAsia"/>
                <w:color w:val="FF0000"/>
                <w:sz w:val="22"/>
                <w:szCs w:val="22"/>
              </w:rPr>
              <w:t>·</w:t>
            </w:r>
            <w:r w:rsidRPr="00ED0902">
              <w:rPr>
                <w:rFonts w:ascii="Times New Roman" w:hAnsi="Times New Roman" w:cs="Times New Roman"/>
                <w:color w:val="FF0000"/>
                <w:sz w:val="22"/>
                <w:szCs w:val="22"/>
              </w:rPr>
              <w:t>km</w:t>
            </w:r>
            <w:r w:rsidRPr="00ED0902">
              <w:rPr>
                <w:rFonts w:ascii="Times New Roman" w:hAnsi="Times New Roman" w:cs="Times New Roman"/>
                <w:color w:val="FF0000"/>
                <w:sz w:val="22"/>
                <w:szCs w:val="22"/>
                <w:vertAlign w:val="superscript"/>
              </w:rPr>
              <w:t>-1</w:t>
            </w:r>
            <w:r w:rsidRPr="00ED0902">
              <w:rPr>
                <w:rFonts w:ascii="Times New Roman" w:hAnsi="Times New Roman" w:cs="Times New Roman"/>
                <w:color w:val="FF0000"/>
                <w:sz w:val="22"/>
                <w:szCs w:val="22"/>
              </w:rPr>
              <w:t>)</w:t>
            </w:r>
          </w:p>
        </w:tc>
      </w:tr>
      <w:tr w:rsidR="00ED0902" w:rsidRPr="00ED0902" w14:paraId="6133C270" w14:textId="77777777" w:rsidTr="007C7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vMerge w:val="restart"/>
            <w:vAlign w:val="center"/>
          </w:tcPr>
          <w:p w14:paraId="03E134C0" w14:textId="6487420F" w:rsidR="00ED0902" w:rsidRPr="00ED0902" w:rsidRDefault="00ED0902" w:rsidP="007C76EA">
            <w:pPr>
              <w:jc w:val="center"/>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L</w:t>
            </w:r>
            <w:r w:rsidRPr="00ED0902">
              <w:rPr>
                <w:rFonts w:ascii="Times New Roman" w:hAnsi="Times New Roman" w:cs="Times New Roman"/>
                <w:color w:val="FF0000"/>
                <w:sz w:val="22"/>
                <w:szCs w:val="22"/>
              </w:rPr>
              <w:t xml:space="preserve">MV </w:t>
            </w:r>
            <w:r w:rsidRPr="00ED0902">
              <w:rPr>
                <w:rFonts w:ascii="Times New Roman" w:hAnsi="Times New Roman" w:cs="Times New Roman" w:hint="eastAsia"/>
                <w:color w:val="FF0000"/>
                <w:sz w:val="22"/>
                <w:szCs w:val="22"/>
              </w:rPr>
              <w:t>(</w:t>
            </w:r>
            <w:r w:rsidRPr="00ED0902">
              <w:rPr>
                <w:rFonts w:ascii="Times New Roman" w:hAnsi="Times New Roman" w:cs="Times New Roman"/>
                <w:color w:val="FF0000"/>
                <w:sz w:val="22"/>
                <w:szCs w:val="22"/>
              </w:rPr>
              <w:t>D2)</w:t>
            </w:r>
          </w:p>
        </w:tc>
        <w:tc>
          <w:tcPr>
            <w:tcW w:w="1934" w:type="dxa"/>
            <w:vAlign w:val="center"/>
          </w:tcPr>
          <w:p w14:paraId="71B16E9B" w14:textId="51EF81AB" w:rsidR="00ED0902" w:rsidRPr="00ED0902" w:rsidRDefault="00E86DCE"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Hot_</w:t>
            </w:r>
            <w:r w:rsidR="00ED0902" w:rsidRPr="00ED0902">
              <w:rPr>
                <w:rFonts w:ascii="Times New Roman" w:hAnsi="Times New Roman" w:cs="Times New Roman" w:hint="eastAsia"/>
                <w:color w:val="FF0000"/>
                <w:sz w:val="22"/>
                <w:szCs w:val="22"/>
              </w:rPr>
              <w:t>2</w:t>
            </w:r>
            <w:r w:rsidR="00ED0902" w:rsidRPr="00ED0902">
              <w:rPr>
                <w:rFonts w:ascii="Times New Roman" w:hAnsi="Times New Roman" w:cs="Times New Roman"/>
                <w:color w:val="FF0000"/>
                <w:sz w:val="22"/>
                <w:szCs w:val="22"/>
              </w:rPr>
              <w:t>3</w:t>
            </w:r>
            <w:r w:rsidR="00ED0902" w:rsidRPr="00ED0902">
              <w:rPr>
                <w:rFonts w:ascii="Times New Roman" w:hAnsi="Times New Roman" w:cs="Times New Roman" w:hint="eastAsia"/>
                <w:color w:val="FF0000"/>
                <w:sz w:val="22"/>
                <w:szCs w:val="22"/>
              </w:rPr>
              <w:t>°</w:t>
            </w:r>
            <w:r w:rsidR="00ED0902" w:rsidRPr="00ED0902">
              <w:rPr>
                <w:rFonts w:ascii="Times New Roman" w:hAnsi="Times New Roman" w:cs="Times New Roman"/>
                <w:color w:val="FF0000"/>
                <w:sz w:val="22"/>
                <w:szCs w:val="22"/>
              </w:rPr>
              <w:t>C</w:t>
            </w:r>
          </w:p>
        </w:tc>
        <w:tc>
          <w:tcPr>
            <w:tcW w:w="1934" w:type="dxa"/>
            <w:vAlign w:val="center"/>
          </w:tcPr>
          <w:p w14:paraId="3EED2DBD" w14:textId="0EE166DD" w:rsidR="00ED0902" w:rsidRPr="00ED0902" w:rsidRDefault="004F639E"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hint="eastAsia"/>
                <w:color w:val="FF0000"/>
                <w:sz w:val="22"/>
                <w:szCs w:val="22"/>
              </w:rPr>
              <w:t>3</w:t>
            </w:r>
            <w:r>
              <w:rPr>
                <w:rFonts w:ascii="Times New Roman" w:hAnsi="Times New Roman" w:cs="Times New Roman"/>
                <w:color w:val="FF0000"/>
                <w:sz w:val="22"/>
                <w:szCs w:val="22"/>
              </w:rPr>
              <w:t>5</w:t>
            </w:r>
          </w:p>
        </w:tc>
        <w:tc>
          <w:tcPr>
            <w:tcW w:w="1934" w:type="dxa"/>
            <w:vAlign w:val="center"/>
          </w:tcPr>
          <w:p w14:paraId="2C008833" w14:textId="5C1F0412" w:rsidR="00ED0902" w:rsidRPr="00ED0902" w:rsidRDefault="004F639E"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6951</w:t>
            </w:r>
          </w:p>
        </w:tc>
        <w:tc>
          <w:tcPr>
            <w:tcW w:w="1935" w:type="dxa"/>
            <w:vAlign w:val="center"/>
          </w:tcPr>
          <w:p w14:paraId="2B75CC85" w14:textId="1BE8561E" w:rsidR="00ED0902" w:rsidRPr="00ED0902" w:rsidRDefault="00846C67"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600</w:t>
            </w:r>
          </w:p>
        </w:tc>
      </w:tr>
      <w:tr w:rsidR="00ED0902" w:rsidRPr="00ED0902" w14:paraId="61930AA5" w14:textId="77777777" w:rsidTr="007C76EA">
        <w:tc>
          <w:tcPr>
            <w:cnfStyle w:val="001000000000" w:firstRow="0" w:lastRow="0" w:firstColumn="1" w:lastColumn="0" w:oddVBand="0" w:evenVBand="0" w:oddHBand="0" w:evenHBand="0" w:firstRowFirstColumn="0" w:firstRowLastColumn="0" w:lastRowFirstColumn="0" w:lastRowLastColumn="0"/>
            <w:tcW w:w="893" w:type="dxa"/>
            <w:vMerge/>
            <w:vAlign w:val="center"/>
          </w:tcPr>
          <w:p w14:paraId="19B71E67" w14:textId="77777777" w:rsidR="00ED0902" w:rsidRPr="00ED0902" w:rsidRDefault="00ED0902" w:rsidP="007C76EA">
            <w:pPr>
              <w:jc w:val="center"/>
              <w:rPr>
                <w:rFonts w:ascii="Times New Roman" w:hAnsi="Times New Roman" w:cs="Times New Roman"/>
                <w:color w:val="FF0000"/>
                <w:sz w:val="22"/>
                <w:szCs w:val="22"/>
              </w:rPr>
            </w:pPr>
          </w:p>
        </w:tc>
        <w:tc>
          <w:tcPr>
            <w:tcW w:w="1934" w:type="dxa"/>
            <w:vAlign w:val="center"/>
          </w:tcPr>
          <w:p w14:paraId="2116157C" w14:textId="61941654" w:rsidR="00ED0902" w:rsidRPr="00ED0902" w:rsidRDefault="00E86DCE"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Hot_</w:t>
            </w:r>
            <w:r w:rsidR="00ED0902" w:rsidRPr="00ED0902">
              <w:rPr>
                <w:rFonts w:ascii="Times New Roman" w:hAnsi="Times New Roman" w:cs="Times New Roman" w:hint="eastAsia"/>
                <w:color w:val="FF0000"/>
                <w:sz w:val="22"/>
                <w:szCs w:val="22"/>
              </w:rPr>
              <w:t>0</w:t>
            </w:r>
            <w:r w:rsidR="00ED0902" w:rsidRPr="00ED0902">
              <w:rPr>
                <w:rFonts w:ascii="Times New Roman" w:hAnsi="Times New Roman" w:cs="Times New Roman" w:hint="eastAsia"/>
                <w:color w:val="FF0000"/>
                <w:sz w:val="22"/>
                <w:szCs w:val="22"/>
              </w:rPr>
              <w:t>°</w:t>
            </w:r>
            <w:r w:rsidR="00ED0902" w:rsidRPr="00ED0902">
              <w:rPr>
                <w:rFonts w:ascii="Times New Roman" w:hAnsi="Times New Roman" w:cs="Times New Roman"/>
                <w:color w:val="FF0000"/>
                <w:sz w:val="22"/>
                <w:szCs w:val="22"/>
              </w:rPr>
              <w:t>C</w:t>
            </w:r>
          </w:p>
        </w:tc>
        <w:tc>
          <w:tcPr>
            <w:tcW w:w="1934" w:type="dxa"/>
            <w:vAlign w:val="center"/>
          </w:tcPr>
          <w:p w14:paraId="6742F522" w14:textId="78B1B24B" w:rsidR="00ED0902" w:rsidRPr="00ED0902" w:rsidRDefault="004F639E"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hint="eastAsia"/>
                <w:color w:val="FF0000"/>
                <w:sz w:val="22"/>
                <w:szCs w:val="22"/>
              </w:rPr>
              <w:t>3</w:t>
            </w:r>
            <w:r>
              <w:rPr>
                <w:rFonts w:ascii="Times New Roman" w:hAnsi="Times New Roman" w:cs="Times New Roman"/>
                <w:color w:val="FF0000"/>
                <w:sz w:val="22"/>
                <w:szCs w:val="22"/>
              </w:rPr>
              <w:t>8</w:t>
            </w:r>
          </w:p>
        </w:tc>
        <w:tc>
          <w:tcPr>
            <w:tcW w:w="1934" w:type="dxa"/>
            <w:vAlign w:val="center"/>
          </w:tcPr>
          <w:p w14:paraId="0EC3174F" w14:textId="2431DFB9" w:rsidR="00ED0902" w:rsidRPr="00ED0902" w:rsidRDefault="004F639E"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hint="eastAsia"/>
                <w:color w:val="FF0000"/>
                <w:sz w:val="22"/>
                <w:szCs w:val="22"/>
              </w:rPr>
              <w:t>8</w:t>
            </w:r>
            <w:r>
              <w:rPr>
                <w:rFonts w:ascii="Times New Roman" w:hAnsi="Times New Roman" w:cs="Times New Roman"/>
                <w:color w:val="FF0000"/>
                <w:sz w:val="22"/>
                <w:szCs w:val="22"/>
              </w:rPr>
              <w:t>048</w:t>
            </w:r>
          </w:p>
        </w:tc>
        <w:tc>
          <w:tcPr>
            <w:tcW w:w="1935" w:type="dxa"/>
            <w:vAlign w:val="center"/>
          </w:tcPr>
          <w:p w14:paraId="6D61F223" w14:textId="1ACC4C3C" w:rsidR="00846C67" w:rsidRPr="00ED0902" w:rsidRDefault="00846C67" w:rsidP="00846C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657</w:t>
            </w:r>
          </w:p>
        </w:tc>
      </w:tr>
      <w:tr w:rsidR="00ED0902" w:rsidRPr="00ED0902" w14:paraId="562EFBB3" w14:textId="77777777" w:rsidTr="007C7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vMerge w:val="restart"/>
            <w:vAlign w:val="center"/>
          </w:tcPr>
          <w:p w14:paraId="610C455D" w14:textId="77777777" w:rsidR="00ED0902" w:rsidRPr="00ED0902" w:rsidRDefault="00ED0902" w:rsidP="007C76EA">
            <w:pPr>
              <w:jc w:val="center"/>
              <w:rPr>
                <w:rFonts w:ascii="Times New Roman" w:hAnsi="Times New Roman" w:cs="Times New Roman"/>
                <w:color w:val="FF0000"/>
                <w:sz w:val="22"/>
                <w:szCs w:val="22"/>
              </w:rPr>
            </w:pPr>
            <w:r w:rsidRPr="00ED0902">
              <w:rPr>
                <w:rFonts w:ascii="Times New Roman" w:hAnsi="Times New Roman" w:cs="Times New Roman"/>
                <w:color w:val="FF0000"/>
                <w:sz w:val="22"/>
                <w:szCs w:val="22"/>
              </w:rPr>
              <w:t xml:space="preserve">HMV </w:t>
            </w:r>
            <w:r w:rsidRPr="00ED0902">
              <w:rPr>
                <w:rFonts w:ascii="Times New Roman" w:hAnsi="Times New Roman" w:cs="Times New Roman" w:hint="eastAsia"/>
                <w:color w:val="FF0000"/>
                <w:sz w:val="22"/>
                <w:szCs w:val="22"/>
              </w:rPr>
              <w:t>(</w:t>
            </w:r>
            <w:r w:rsidRPr="00ED0902">
              <w:rPr>
                <w:rFonts w:ascii="Times New Roman" w:hAnsi="Times New Roman" w:cs="Times New Roman"/>
                <w:color w:val="FF0000"/>
                <w:sz w:val="22"/>
                <w:szCs w:val="22"/>
              </w:rPr>
              <w:t>D4)</w:t>
            </w:r>
          </w:p>
        </w:tc>
        <w:tc>
          <w:tcPr>
            <w:tcW w:w="1934" w:type="dxa"/>
            <w:vAlign w:val="center"/>
          </w:tcPr>
          <w:p w14:paraId="2ECDF06E" w14:textId="1A15F5B6" w:rsidR="00ED0902" w:rsidRPr="00ED0902" w:rsidRDefault="00E86DCE"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Hot_</w:t>
            </w:r>
            <w:r w:rsidR="00ED0902" w:rsidRPr="00ED0902">
              <w:rPr>
                <w:rFonts w:ascii="Times New Roman" w:hAnsi="Times New Roman" w:cs="Times New Roman" w:hint="eastAsia"/>
                <w:color w:val="FF0000"/>
                <w:sz w:val="22"/>
                <w:szCs w:val="22"/>
              </w:rPr>
              <w:t>2</w:t>
            </w:r>
            <w:r w:rsidR="00ED0902" w:rsidRPr="00ED0902">
              <w:rPr>
                <w:rFonts w:ascii="Times New Roman" w:hAnsi="Times New Roman" w:cs="Times New Roman"/>
                <w:color w:val="FF0000"/>
                <w:sz w:val="22"/>
                <w:szCs w:val="22"/>
              </w:rPr>
              <w:t>3</w:t>
            </w:r>
            <w:r w:rsidR="00ED0902" w:rsidRPr="00ED0902">
              <w:rPr>
                <w:rFonts w:ascii="Times New Roman" w:hAnsi="Times New Roman" w:cs="Times New Roman" w:hint="eastAsia"/>
                <w:color w:val="FF0000"/>
                <w:sz w:val="22"/>
                <w:szCs w:val="22"/>
              </w:rPr>
              <w:t>°</w:t>
            </w:r>
            <w:r w:rsidR="00ED0902" w:rsidRPr="00ED0902">
              <w:rPr>
                <w:rFonts w:ascii="Times New Roman" w:hAnsi="Times New Roman" w:cs="Times New Roman"/>
                <w:color w:val="FF0000"/>
                <w:sz w:val="22"/>
                <w:szCs w:val="22"/>
              </w:rPr>
              <w:t>C</w:t>
            </w:r>
          </w:p>
        </w:tc>
        <w:tc>
          <w:tcPr>
            <w:tcW w:w="1934" w:type="dxa"/>
            <w:vAlign w:val="center"/>
          </w:tcPr>
          <w:p w14:paraId="2D8D782A" w14:textId="77777777" w:rsidR="00ED0902" w:rsidRPr="00ED0902" w:rsidRDefault="00ED0902"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2</w:t>
            </w:r>
            <w:r w:rsidRPr="00ED0902">
              <w:rPr>
                <w:rFonts w:ascii="Times New Roman" w:hAnsi="Times New Roman" w:cs="Times New Roman"/>
                <w:color w:val="FF0000"/>
                <w:sz w:val="22"/>
                <w:szCs w:val="22"/>
              </w:rPr>
              <w:t>89</w:t>
            </w:r>
          </w:p>
        </w:tc>
        <w:tc>
          <w:tcPr>
            <w:tcW w:w="1934" w:type="dxa"/>
            <w:vAlign w:val="center"/>
          </w:tcPr>
          <w:p w14:paraId="2747B2AF" w14:textId="77777777" w:rsidR="00ED0902" w:rsidRPr="00ED0902" w:rsidRDefault="00ED0902"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2</w:t>
            </w:r>
            <w:r w:rsidRPr="00ED0902">
              <w:rPr>
                <w:rFonts w:ascii="Times New Roman" w:hAnsi="Times New Roman" w:cs="Times New Roman"/>
                <w:color w:val="FF0000"/>
                <w:sz w:val="22"/>
                <w:szCs w:val="22"/>
              </w:rPr>
              <w:t>629</w:t>
            </w:r>
          </w:p>
        </w:tc>
        <w:tc>
          <w:tcPr>
            <w:tcW w:w="1935" w:type="dxa"/>
            <w:vAlign w:val="center"/>
          </w:tcPr>
          <w:p w14:paraId="049EABBC" w14:textId="77777777" w:rsidR="00ED0902" w:rsidRPr="00ED0902" w:rsidRDefault="00ED0902" w:rsidP="007C76E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3</w:t>
            </w:r>
            <w:r w:rsidRPr="00ED0902">
              <w:rPr>
                <w:rFonts w:ascii="Times New Roman" w:hAnsi="Times New Roman" w:cs="Times New Roman"/>
                <w:color w:val="FF0000"/>
                <w:sz w:val="22"/>
                <w:szCs w:val="22"/>
              </w:rPr>
              <w:t>59</w:t>
            </w:r>
          </w:p>
        </w:tc>
      </w:tr>
      <w:tr w:rsidR="00ED0902" w:rsidRPr="00ED0902" w14:paraId="223F4D03" w14:textId="77777777" w:rsidTr="007C76EA">
        <w:tc>
          <w:tcPr>
            <w:cnfStyle w:val="001000000000" w:firstRow="0" w:lastRow="0" w:firstColumn="1" w:lastColumn="0" w:oddVBand="0" w:evenVBand="0" w:oddHBand="0" w:evenHBand="0" w:firstRowFirstColumn="0" w:firstRowLastColumn="0" w:lastRowFirstColumn="0" w:lastRowLastColumn="0"/>
            <w:tcW w:w="893" w:type="dxa"/>
            <w:vMerge/>
            <w:tcBorders>
              <w:bottom w:val="single" w:sz="8" w:space="0" w:color="000000" w:themeColor="text1"/>
            </w:tcBorders>
          </w:tcPr>
          <w:p w14:paraId="637AE8E7" w14:textId="77777777" w:rsidR="00ED0902" w:rsidRPr="00ED0902" w:rsidRDefault="00ED0902" w:rsidP="007C76EA">
            <w:pPr>
              <w:jc w:val="both"/>
              <w:rPr>
                <w:rFonts w:ascii="Times New Roman" w:hAnsi="Times New Roman" w:cs="Times New Roman"/>
                <w:color w:val="FF0000"/>
                <w:sz w:val="22"/>
                <w:szCs w:val="22"/>
              </w:rPr>
            </w:pPr>
          </w:p>
        </w:tc>
        <w:tc>
          <w:tcPr>
            <w:tcW w:w="1934" w:type="dxa"/>
            <w:tcBorders>
              <w:bottom w:val="single" w:sz="8" w:space="0" w:color="000000" w:themeColor="text1"/>
            </w:tcBorders>
            <w:vAlign w:val="center"/>
          </w:tcPr>
          <w:p w14:paraId="7D45CED0" w14:textId="577FF87E" w:rsidR="00ED0902" w:rsidRPr="00ED0902" w:rsidRDefault="00E86DCE"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Pr>
                <w:rFonts w:ascii="Times New Roman" w:hAnsi="Times New Roman" w:cs="Times New Roman"/>
                <w:color w:val="FF0000"/>
                <w:sz w:val="22"/>
                <w:szCs w:val="22"/>
              </w:rPr>
              <w:t>Hot_</w:t>
            </w:r>
            <w:r w:rsidR="00ED0902" w:rsidRPr="00ED0902">
              <w:rPr>
                <w:rFonts w:ascii="Times New Roman" w:hAnsi="Times New Roman" w:cs="Times New Roman" w:hint="eastAsia"/>
                <w:color w:val="FF0000"/>
                <w:sz w:val="22"/>
                <w:szCs w:val="22"/>
              </w:rPr>
              <w:t>0</w:t>
            </w:r>
            <w:r w:rsidR="00ED0902" w:rsidRPr="00ED0902">
              <w:rPr>
                <w:rFonts w:ascii="Times New Roman" w:hAnsi="Times New Roman" w:cs="Times New Roman" w:hint="eastAsia"/>
                <w:color w:val="FF0000"/>
                <w:sz w:val="22"/>
                <w:szCs w:val="22"/>
              </w:rPr>
              <w:t>°</w:t>
            </w:r>
            <w:r w:rsidR="00ED0902" w:rsidRPr="00ED0902">
              <w:rPr>
                <w:rFonts w:ascii="Times New Roman" w:hAnsi="Times New Roman" w:cs="Times New Roman"/>
                <w:color w:val="FF0000"/>
                <w:sz w:val="22"/>
                <w:szCs w:val="22"/>
              </w:rPr>
              <w:t>C</w:t>
            </w:r>
          </w:p>
        </w:tc>
        <w:tc>
          <w:tcPr>
            <w:tcW w:w="1934" w:type="dxa"/>
            <w:tcBorders>
              <w:bottom w:val="single" w:sz="8" w:space="0" w:color="000000" w:themeColor="text1"/>
            </w:tcBorders>
            <w:vAlign w:val="center"/>
          </w:tcPr>
          <w:p w14:paraId="7A1C0D27" w14:textId="77777777" w:rsidR="00ED0902" w:rsidRPr="00ED0902" w:rsidRDefault="00ED0902"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3</w:t>
            </w:r>
            <w:r w:rsidRPr="00ED0902">
              <w:rPr>
                <w:rFonts w:ascii="Times New Roman" w:hAnsi="Times New Roman" w:cs="Times New Roman"/>
                <w:color w:val="FF0000"/>
                <w:sz w:val="22"/>
                <w:szCs w:val="22"/>
              </w:rPr>
              <w:t>02</w:t>
            </w:r>
          </w:p>
        </w:tc>
        <w:tc>
          <w:tcPr>
            <w:tcW w:w="1934" w:type="dxa"/>
            <w:tcBorders>
              <w:bottom w:val="single" w:sz="8" w:space="0" w:color="000000" w:themeColor="text1"/>
            </w:tcBorders>
            <w:vAlign w:val="center"/>
          </w:tcPr>
          <w:p w14:paraId="21317A4B" w14:textId="77777777" w:rsidR="00ED0902" w:rsidRPr="00ED0902" w:rsidRDefault="00ED0902"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3555</w:t>
            </w:r>
          </w:p>
        </w:tc>
        <w:tc>
          <w:tcPr>
            <w:tcW w:w="1935" w:type="dxa"/>
            <w:tcBorders>
              <w:bottom w:val="single" w:sz="8" w:space="0" w:color="000000" w:themeColor="text1"/>
            </w:tcBorders>
            <w:vAlign w:val="center"/>
          </w:tcPr>
          <w:p w14:paraId="022D6318" w14:textId="77777777" w:rsidR="00ED0902" w:rsidRPr="00ED0902" w:rsidRDefault="00ED0902" w:rsidP="007C76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2"/>
                <w:szCs w:val="22"/>
              </w:rPr>
            </w:pPr>
            <w:r w:rsidRPr="00ED0902">
              <w:rPr>
                <w:rFonts w:ascii="Times New Roman" w:hAnsi="Times New Roman" w:cs="Times New Roman" w:hint="eastAsia"/>
                <w:color w:val="FF0000"/>
                <w:sz w:val="22"/>
                <w:szCs w:val="22"/>
              </w:rPr>
              <w:t>404</w:t>
            </w:r>
          </w:p>
        </w:tc>
      </w:tr>
    </w:tbl>
    <w:bookmarkEnd w:id="3"/>
    <w:p w14:paraId="1C5BCBA0" w14:textId="35A22B4A" w:rsidR="00C1384D" w:rsidRDefault="00C1384D" w:rsidP="00A31E67">
      <w:pPr>
        <w:jc w:val="both"/>
        <w:rPr>
          <w:rFonts w:ascii="Times New Roman" w:hAnsi="Times New Roman" w:cs="Times New Roman"/>
          <w:color w:val="0000FF"/>
          <w:sz w:val="22"/>
          <w:szCs w:val="22"/>
        </w:rPr>
      </w:pPr>
      <w:r>
        <w:rPr>
          <w:rFonts w:ascii="Times New Roman" w:hAnsi="Times New Roman" w:cs="Times New Roman"/>
          <w:color w:val="0000FF"/>
          <w:sz w:val="22"/>
          <w:szCs w:val="22"/>
        </w:rPr>
        <w:t>”</w:t>
      </w:r>
    </w:p>
    <w:p w14:paraId="199D9352" w14:textId="365128A0" w:rsidR="00C1384D" w:rsidRPr="0020156A" w:rsidRDefault="00C1384D" w:rsidP="00C1384D">
      <w:pPr>
        <w:jc w:val="both"/>
        <w:rPr>
          <w:rFonts w:ascii="Times New Roman" w:hAnsi="Times New Roman" w:cs="Times New Roman"/>
          <w:color w:val="0000FF"/>
          <w:sz w:val="22"/>
          <w:szCs w:val="22"/>
        </w:rPr>
      </w:pPr>
      <w:r w:rsidRPr="0020156A">
        <w:rPr>
          <w:rFonts w:ascii="Times New Roman" w:hAnsi="Times New Roman" w:cs="Times New Roman"/>
          <w:color w:val="0000FF"/>
          <w:sz w:val="22"/>
          <w:szCs w:val="22"/>
        </w:rPr>
        <w:t xml:space="preserve">Please refer to lines </w:t>
      </w:r>
      <w:r w:rsidR="009C6792">
        <w:rPr>
          <w:rFonts w:ascii="Times New Roman" w:hAnsi="Times New Roman" w:cs="Times New Roman"/>
          <w:color w:val="0000FF"/>
          <w:sz w:val="22"/>
          <w:szCs w:val="22"/>
        </w:rPr>
        <w:t>62</w:t>
      </w:r>
      <w:r w:rsidRPr="0020156A">
        <w:rPr>
          <w:rFonts w:ascii="Times New Roman" w:hAnsi="Times New Roman" w:cs="Times New Roman"/>
          <w:color w:val="0000FF"/>
          <w:sz w:val="22"/>
          <w:szCs w:val="22"/>
        </w:rPr>
        <w:t xml:space="preserve"> in the </w:t>
      </w:r>
      <w:r>
        <w:rPr>
          <w:rFonts w:ascii="Times New Roman" w:hAnsi="Times New Roman" w:cs="Times New Roman"/>
          <w:color w:val="0000FF"/>
          <w:sz w:val="22"/>
          <w:szCs w:val="22"/>
        </w:rPr>
        <w:t>SI</w:t>
      </w:r>
      <w:r w:rsidRPr="0020156A">
        <w:rPr>
          <w:rFonts w:ascii="Times New Roman" w:hAnsi="Times New Roman" w:cs="Times New Roman"/>
          <w:color w:val="0000FF"/>
          <w:sz w:val="22"/>
          <w:szCs w:val="22"/>
        </w:rPr>
        <w:t xml:space="preserve"> for details.</w:t>
      </w:r>
    </w:p>
    <w:p w14:paraId="2D9A7595" w14:textId="77777777" w:rsidR="00C1384D" w:rsidRPr="00C1384D" w:rsidRDefault="00C1384D" w:rsidP="00A31E67">
      <w:pPr>
        <w:jc w:val="both"/>
        <w:rPr>
          <w:rFonts w:ascii="Times New Roman" w:hAnsi="Times New Roman" w:cs="Times New Roman"/>
          <w:sz w:val="22"/>
          <w:szCs w:val="22"/>
        </w:rPr>
      </w:pPr>
    </w:p>
    <w:p w14:paraId="65A47CF2" w14:textId="22E41825" w:rsidR="005B08D6" w:rsidRDefault="005B08D6" w:rsidP="005B08D6">
      <w:pPr>
        <w:jc w:val="both"/>
        <w:rPr>
          <w:rFonts w:ascii="Times New Roman" w:hAnsi="Times New Roman" w:cs="Times New Roman"/>
          <w:sz w:val="22"/>
          <w:szCs w:val="22"/>
        </w:rPr>
      </w:pPr>
      <w:r w:rsidRPr="005B08D6">
        <w:rPr>
          <w:rFonts w:ascii="Times New Roman" w:hAnsi="Times New Roman" w:cs="Times New Roman"/>
          <w:sz w:val="22"/>
          <w:szCs w:val="22"/>
        </w:rPr>
        <w:t>(7) The overall presentation is acceptable, but English could do with improvement in places.</w:t>
      </w:r>
    </w:p>
    <w:p w14:paraId="5C1221AB" w14:textId="77777777" w:rsidR="00A31E67" w:rsidRPr="00DC202B"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Response:</w:t>
      </w:r>
    </w:p>
    <w:p w14:paraId="237F0C93" w14:textId="6FDFFF28" w:rsidR="00A31E67" w:rsidRDefault="00A31E67" w:rsidP="00A31E67">
      <w:pPr>
        <w:jc w:val="both"/>
        <w:rPr>
          <w:rFonts w:ascii="Times New Roman" w:hAnsi="Times New Roman" w:cs="Times New Roman"/>
          <w:color w:val="0000FF"/>
          <w:sz w:val="22"/>
          <w:szCs w:val="22"/>
        </w:rPr>
      </w:pPr>
      <w:r w:rsidRPr="00DC202B">
        <w:rPr>
          <w:rFonts w:ascii="Times New Roman" w:hAnsi="Times New Roman" w:cs="Times New Roman"/>
          <w:color w:val="0000FF"/>
          <w:sz w:val="22"/>
          <w:szCs w:val="22"/>
        </w:rPr>
        <w:t xml:space="preserve">Thanks for the comment. </w:t>
      </w:r>
      <w:r w:rsidR="000134EA" w:rsidRPr="000134EA">
        <w:rPr>
          <w:rFonts w:ascii="Times New Roman" w:hAnsi="Times New Roman" w:cs="Times New Roman"/>
          <w:color w:val="0000FF"/>
          <w:sz w:val="22"/>
          <w:szCs w:val="22"/>
        </w:rPr>
        <w:t>We have polished the English expression of the entire text again.</w:t>
      </w:r>
      <w:r w:rsidR="00D94FEF">
        <w:rPr>
          <w:rFonts w:ascii="Times New Roman" w:hAnsi="Times New Roman" w:cs="Times New Roman"/>
          <w:color w:val="0000FF"/>
          <w:sz w:val="22"/>
          <w:szCs w:val="22"/>
        </w:rPr>
        <w:t xml:space="preserve"> </w:t>
      </w:r>
      <w:r w:rsidR="009679C7">
        <w:rPr>
          <w:rFonts w:ascii="Times New Roman" w:hAnsi="Times New Roman" w:cs="Times New Roman"/>
          <w:color w:val="0000FF"/>
          <w:sz w:val="22"/>
          <w:szCs w:val="22"/>
        </w:rPr>
        <w:t>Taking the modifications listed in the table b</w:t>
      </w:r>
      <w:r w:rsidR="002775CB">
        <w:rPr>
          <w:rFonts w:ascii="Times New Roman" w:hAnsi="Times New Roman" w:cs="Times New Roman" w:hint="eastAsia"/>
          <w:color w:val="0000FF"/>
          <w:sz w:val="22"/>
          <w:szCs w:val="22"/>
        </w:rPr>
        <w:t>e</w:t>
      </w:r>
      <w:r w:rsidR="009679C7">
        <w:rPr>
          <w:rFonts w:ascii="Times New Roman" w:hAnsi="Times New Roman" w:cs="Times New Roman"/>
          <w:color w:val="0000FF"/>
          <w:sz w:val="22"/>
          <w:szCs w:val="22"/>
        </w:rPr>
        <w:t>low for example:</w:t>
      </w:r>
    </w:p>
    <w:tbl>
      <w:tblPr>
        <w:tblStyle w:val="22"/>
        <w:tblW w:w="5000" w:type="pct"/>
        <w:tblLook w:val="04A0" w:firstRow="1" w:lastRow="0" w:firstColumn="1" w:lastColumn="0" w:noHBand="0" w:noVBand="1"/>
      </w:tblPr>
      <w:tblGrid>
        <w:gridCol w:w="708"/>
        <w:gridCol w:w="3612"/>
        <w:gridCol w:w="783"/>
        <w:gridCol w:w="3537"/>
      </w:tblGrid>
      <w:tr w:rsidR="009679C7" w14:paraId="5DC99CF1" w14:textId="77777777" w:rsidTr="001B6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gridSpan w:val="2"/>
            <w:tcBorders>
              <w:top w:val="single" w:sz="4" w:space="0" w:color="7F7F7F" w:themeColor="text1" w:themeTint="80"/>
              <w:right w:val="single" w:sz="4" w:space="0" w:color="7F7F7F" w:themeColor="text1" w:themeTint="80"/>
            </w:tcBorders>
          </w:tcPr>
          <w:p w14:paraId="65878892" w14:textId="18C5C9E4" w:rsidR="009679C7" w:rsidRDefault="009679C7" w:rsidP="00A31E67">
            <w:pPr>
              <w:jc w:val="both"/>
              <w:rPr>
                <w:rFonts w:ascii="Times New Roman" w:hAnsi="Times New Roman" w:cs="Times New Roman"/>
                <w:color w:val="0000FF"/>
                <w:sz w:val="22"/>
                <w:szCs w:val="22"/>
              </w:rPr>
            </w:pPr>
            <w:r>
              <w:rPr>
                <w:rFonts w:ascii="Times New Roman" w:hAnsi="Times New Roman" w:cs="Times New Roman" w:hint="eastAsia"/>
                <w:color w:val="0000FF"/>
                <w:sz w:val="22"/>
                <w:szCs w:val="22"/>
              </w:rPr>
              <w:t>O</w:t>
            </w:r>
            <w:r>
              <w:rPr>
                <w:rFonts w:ascii="Times New Roman" w:hAnsi="Times New Roman" w:cs="Times New Roman"/>
                <w:color w:val="0000FF"/>
                <w:sz w:val="22"/>
                <w:szCs w:val="22"/>
              </w:rPr>
              <w:t>riginal</w:t>
            </w:r>
          </w:p>
        </w:tc>
        <w:tc>
          <w:tcPr>
            <w:tcW w:w="2500" w:type="pct"/>
            <w:gridSpan w:val="2"/>
            <w:tcBorders>
              <w:left w:val="single" w:sz="4" w:space="0" w:color="7F7F7F" w:themeColor="text1" w:themeTint="80"/>
            </w:tcBorders>
          </w:tcPr>
          <w:p w14:paraId="1B8F26A1" w14:textId="7F16E890" w:rsidR="009679C7" w:rsidRDefault="009679C7" w:rsidP="00A31E67">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Pr>
                <w:rFonts w:ascii="Times New Roman" w:hAnsi="Times New Roman" w:cs="Times New Roman" w:hint="eastAsia"/>
                <w:color w:val="0000FF"/>
                <w:sz w:val="22"/>
                <w:szCs w:val="22"/>
              </w:rPr>
              <w:t>M</w:t>
            </w:r>
            <w:r>
              <w:rPr>
                <w:rFonts w:ascii="Times New Roman" w:hAnsi="Times New Roman" w:cs="Times New Roman"/>
                <w:color w:val="0000FF"/>
                <w:sz w:val="22"/>
                <w:szCs w:val="22"/>
              </w:rPr>
              <w:t>odified</w:t>
            </w:r>
          </w:p>
        </w:tc>
      </w:tr>
      <w:tr w:rsidR="009679C7" w:rsidRPr="001B64BE" w14:paraId="78638CA0" w14:textId="77777777" w:rsidTr="001B6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 w:type="pct"/>
          </w:tcPr>
          <w:p w14:paraId="43436868" w14:textId="3F3D7BF9" w:rsidR="009679C7" w:rsidRPr="001B64BE" w:rsidRDefault="009679C7" w:rsidP="00A31E67">
            <w:pPr>
              <w:jc w:val="both"/>
              <w:rPr>
                <w:rFonts w:ascii="Times New Roman" w:hAnsi="Times New Roman" w:cs="Times New Roman"/>
                <w:i/>
                <w:iCs/>
                <w:color w:val="0000FF"/>
                <w:sz w:val="22"/>
                <w:szCs w:val="22"/>
              </w:rPr>
            </w:pPr>
            <w:r w:rsidRPr="001B64BE">
              <w:rPr>
                <w:rFonts w:ascii="Times New Roman" w:hAnsi="Times New Roman" w:cs="Times New Roman" w:hint="eastAsia"/>
                <w:i/>
                <w:iCs/>
                <w:color w:val="0000FF"/>
                <w:sz w:val="22"/>
                <w:szCs w:val="22"/>
              </w:rPr>
              <w:t>L</w:t>
            </w:r>
            <w:r w:rsidRPr="001B64BE">
              <w:rPr>
                <w:rFonts w:ascii="Times New Roman" w:hAnsi="Times New Roman" w:cs="Times New Roman"/>
                <w:i/>
                <w:iCs/>
                <w:color w:val="0000FF"/>
                <w:sz w:val="22"/>
                <w:szCs w:val="22"/>
              </w:rPr>
              <w:t>ine</w:t>
            </w:r>
          </w:p>
        </w:tc>
        <w:tc>
          <w:tcPr>
            <w:tcW w:w="2090" w:type="pct"/>
            <w:tcBorders>
              <w:right w:val="single" w:sz="4" w:space="0" w:color="7F7F7F" w:themeColor="text1" w:themeTint="80"/>
            </w:tcBorders>
          </w:tcPr>
          <w:p w14:paraId="23935C23" w14:textId="060146A9" w:rsidR="009679C7" w:rsidRPr="001B64BE" w:rsidRDefault="009679C7"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color w:val="0000FF"/>
                <w:sz w:val="22"/>
                <w:szCs w:val="22"/>
              </w:rPr>
            </w:pPr>
            <w:r w:rsidRPr="001B64BE">
              <w:rPr>
                <w:rFonts w:ascii="Times New Roman" w:hAnsi="Times New Roman" w:cs="Times New Roman" w:hint="eastAsia"/>
                <w:b/>
                <w:bCs/>
                <w:i/>
                <w:iCs/>
                <w:color w:val="0000FF"/>
                <w:sz w:val="22"/>
                <w:szCs w:val="22"/>
              </w:rPr>
              <w:t>T</w:t>
            </w:r>
            <w:r w:rsidRPr="001B64BE">
              <w:rPr>
                <w:rFonts w:ascii="Times New Roman" w:hAnsi="Times New Roman" w:cs="Times New Roman"/>
                <w:b/>
                <w:bCs/>
                <w:i/>
                <w:iCs/>
                <w:color w:val="0000FF"/>
                <w:sz w:val="22"/>
                <w:szCs w:val="22"/>
              </w:rPr>
              <w:t>ext</w:t>
            </w:r>
          </w:p>
        </w:tc>
        <w:tc>
          <w:tcPr>
            <w:tcW w:w="453" w:type="pct"/>
            <w:tcBorders>
              <w:left w:val="single" w:sz="4" w:space="0" w:color="7F7F7F" w:themeColor="text1" w:themeTint="80"/>
            </w:tcBorders>
          </w:tcPr>
          <w:p w14:paraId="7F7345C0" w14:textId="354697C5" w:rsidR="009679C7" w:rsidRPr="001B64BE" w:rsidRDefault="009679C7"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color w:val="0000FF"/>
                <w:sz w:val="22"/>
                <w:szCs w:val="22"/>
              </w:rPr>
            </w:pPr>
            <w:r w:rsidRPr="001B64BE">
              <w:rPr>
                <w:rFonts w:ascii="Times New Roman" w:hAnsi="Times New Roman" w:cs="Times New Roman" w:hint="eastAsia"/>
                <w:b/>
                <w:bCs/>
                <w:i/>
                <w:iCs/>
                <w:color w:val="0000FF"/>
                <w:sz w:val="22"/>
                <w:szCs w:val="22"/>
              </w:rPr>
              <w:t>L</w:t>
            </w:r>
            <w:r w:rsidRPr="001B64BE">
              <w:rPr>
                <w:rFonts w:ascii="Times New Roman" w:hAnsi="Times New Roman" w:cs="Times New Roman"/>
                <w:b/>
                <w:bCs/>
                <w:i/>
                <w:iCs/>
                <w:color w:val="0000FF"/>
                <w:sz w:val="22"/>
                <w:szCs w:val="22"/>
              </w:rPr>
              <w:t>ine</w:t>
            </w:r>
          </w:p>
        </w:tc>
        <w:tc>
          <w:tcPr>
            <w:tcW w:w="2047" w:type="pct"/>
          </w:tcPr>
          <w:p w14:paraId="67425FD6" w14:textId="6CF33A9D" w:rsidR="009679C7" w:rsidRPr="001B64BE" w:rsidRDefault="009679C7"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color w:val="0000FF"/>
                <w:sz w:val="22"/>
                <w:szCs w:val="22"/>
              </w:rPr>
            </w:pPr>
            <w:r w:rsidRPr="001B64BE">
              <w:rPr>
                <w:rFonts w:ascii="Times New Roman" w:hAnsi="Times New Roman" w:cs="Times New Roman" w:hint="eastAsia"/>
                <w:b/>
                <w:bCs/>
                <w:i/>
                <w:iCs/>
                <w:color w:val="0000FF"/>
                <w:sz w:val="22"/>
                <w:szCs w:val="22"/>
              </w:rPr>
              <w:t>T</w:t>
            </w:r>
            <w:r w:rsidRPr="001B64BE">
              <w:rPr>
                <w:rFonts w:ascii="Times New Roman" w:hAnsi="Times New Roman" w:cs="Times New Roman"/>
                <w:b/>
                <w:bCs/>
                <w:i/>
                <w:iCs/>
                <w:color w:val="0000FF"/>
                <w:sz w:val="22"/>
                <w:szCs w:val="22"/>
              </w:rPr>
              <w:t>ext</w:t>
            </w:r>
          </w:p>
        </w:tc>
      </w:tr>
      <w:tr w:rsidR="009679C7" w14:paraId="50574E59" w14:textId="77777777" w:rsidTr="001B64BE">
        <w:tc>
          <w:tcPr>
            <w:cnfStyle w:val="001000000000" w:firstRow="0" w:lastRow="0" w:firstColumn="1" w:lastColumn="0" w:oddVBand="0" w:evenVBand="0" w:oddHBand="0" w:evenHBand="0" w:firstRowFirstColumn="0" w:firstRowLastColumn="0" w:lastRowFirstColumn="0" w:lastRowLastColumn="0"/>
            <w:tcW w:w="410" w:type="pct"/>
          </w:tcPr>
          <w:p w14:paraId="4D962CEC" w14:textId="7835F3B1" w:rsidR="009679C7" w:rsidRDefault="001B64BE" w:rsidP="00A31E67">
            <w:pPr>
              <w:jc w:val="both"/>
              <w:rPr>
                <w:rFonts w:ascii="Times New Roman" w:hAnsi="Times New Roman" w:cs="Times New Roman"/>
                <w:b w:val="0"/>
                <w:bCs w:val="0"/>
                <w:color w:val="0000FF"/>
                <w:sz w:val="22"/>
                <w:szCs w:val="22"/>
              </w:rPr>
            </w:pPr>
            <w:r>
              <w:rPr>
                <w:rFonts w:ascii="Times New Roman" w:hAnsi="Times New Roman" w:cs="Times New Roman" w:hint="eastAsia"/>
                <w:b w:val="0"/>
                <w:bCs w:val="0"/>
                <w:color w:val="0000FF"/>
                <w:sz w:val="22"/>
                <w:szCs w:val="22"/>
              </w:rPr>
              <w:t>4</w:t>
            </w:r>
            <w:r>
              <w:rPr>
                <w:rFonts w:ascii="Times New Roman" w:hAnsi="Times New Roman" w:cs="Times New Roman"/>
                <w:b w:val="0"/>
                <w:bCs w:val="0"/>
                <w:color w:val="0000FF"/>
                <w:sz w:val="22"/>
                <w:szCs w:val="22"/>
              </w:rPr>
              <w:t>9</w:t>
            </w:r>
          </w:p>
        </w:tc>
        <w:tc>
          <w:tcPr>
            <w:tcW w:w="2090" w:type="pct"/>
            <w:tcBorders>
              <w:top w:val="single" w:sz="4" w:space="0" w:color="7F7F7F" w:themeColor="text1" w:themeTint="80"/>
              <w:bottom w:val="single" w:sz="4" w:space="0" w:color="7F7F7F" w:themeColor="text1" w:themeTint="80"/>
              <w:right w:val="single" w:sz="4" w:space="0" w:color="7F7F7F" w:themeColor="text1" w:themeTint="80"/>
            </w:tcBorders>
          </w:tcPr>
          <w:p w14:paraId="6B013F17" w14:textId="5423BE0A" w:rsidR="009679C7" w:rsidRDefault="001B64BE" w:rsidP="00A31E6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These variations underscore the need for a more precise assessment of diesel vehicle I/SVOC emission factors (EFs).</w:t>
            </w:r>
          </w:p>
        </w:tc>
        <w:tc>
          <w:tcPr>
            <w:tcW w:w="453" w:type="pct"/>
            <w:tcBorders>
              <w:left w:val="single" w:sz="4" w:space="0" w:color="7F7F7F" w:themeColor="text1" w:themeTint="80"/>
            </w:tcBorders>
          </w:tcPr>
          <w:p w14:paraId="51240A96" w14:textId="5FD49384" w:rsidR="009679C7" w:rsidRDefault="001B64BE" w:rsidP="00A31E6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Pr>
                <w:rFonts w:ascii="Times New Roman" w:hAnsi="Times New Roman" w:cs="Times New Roman" w:hint="eastAsia"/>
                <w:color w:val="0000FF"/>
                <w:sz w:val="22"/>
                <w:szCs w:val="22"/>
              </w:rPr>
              <w:t>4</w:t>
            </w:r>
            <w:r>
              <w:rPr>
                <w:rFonts w:ascii="Times New Roman" w:hAnsi="Times New Roman" w:cs="Times New Roman"/>
                <w:color w:val="0000FF"/>
                <w:sz w:val="22"/>
                <w:szCs w:val="22"/>
              </w:rPr>
              <w:t>9</w:t>
            </w:r>
          </w:p>
        </w:tc>
        <w:tc>
          <w:tcPr>
            <w:tcW w:w="2047" w:type="pct"/>
          </w:tcPr>
          <w:p w14:paraId="29DE4DB1" w14:textId="1E64F4B7" w:rsidR="009679C7" w:rsidRDefault="001B64BE" w:rsidP="00A31E6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These discrepancies highlight the urgent need for a more precise assessment of diesel vehicle I/SVOC emission factors (EFs).</w:t>
            </w:r>
          </w:p>
        </w:tc>
      </w:tr>
      <w:tr w:rsidR="009679C7" w14:paraId="38886BF4" w14:textId="77777777" w:rsidTr="001B6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 w:type="pct"/>
          </w:tcPr>
          <w:p w14:paraId="62B87BC7" w14:textId="1B1D1D4F" w:rsidR="009679C7" w:rsidRDefault="001B64BE" w:rsidP="00A31E67">
            <w:pPr>
              <w:jc w:val="both"/>
              <w:rPr>
                <w:rFonts w:ascii="Times New Roman" w:hAnsi="Times New Roman" w:cs="Times New Roman"/>
                <w:b w:val="0"/>
                <w:bCs w:val="0"/>
                <w:color w:val="0000FF"/>
                <w:sz w:val="22"/>
                <w:szCs w:val="22"/>
              </w:rPr>
            </w:pPr>
            <w:r>
              <w:rPr>
                <w:rFonts w:ascii="Times New Roman" w:hAnsi="Times New Roman" w:cs="Times New Roman" w:hint="eastAsia"/>
                <w:b w:val="0"/>
                <w:bCs w:val="0"/>
                <w:color w:val="0000FF"/>
                <w:sz w:val="22"/>
                <w:szCs w:val="22"/>
              </w:rPr>
              <w:t>5</w:t>
            </w:r>
            <w:r>
              <w:rPr>
                <w:rFonts w:ascii="Times New Roman" w:hAnsi="Times New Roman" w:cs="Times New Roman"/>
                <w:b w:val="0"/>
                <w:bCs w:val="0"/>
                <w:color w:val="0000FF"/>
                <w:sz w:val="22"/>
                <w:szCs w:val="22"/>
              </w:rPr>
              <w:t>2</w:t>
            </w:r>
          </w:p>
        </w:tc>
        <w:tc>
          <w:tcPr>
            <w:tcW w:w="2090" w:type="pct"/>
            <w:tcBorders>
              <w:right w:val="single" w:sz="4" w:space="0" w:color="7F7F7F" w:themeColor="text1" w:themeTint="80"/>
            </w:tcBorders>
          </w:tcPr>
          <w:p w14:paraId="38B8C5AE" w14:textId="77777777" w:rsidR="001B64BE" w:rsidRPr="001B64BE" w:rsidRDefault="001B64BE" w:rsidP="001B64B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Furthermore, many regions in China experience temperatures of 0°C or lower during </w:t>
            </w:r>
          </w:p>
          <w:p w14:paraId="23848459" w14:textId="77777777" w:rsidR="001B64BE" w:rsidRPr="001B64BE" w:rsidRDefault="001B64BE" w:rsidP="001B64B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the autumn and winter. Consequently, HDDVs operating under such low-temperature conditions may exhibit different emission </w:t>
            </w:r>
          </w:p>
          <w:p w14:paraId="2DD5FF88" w14:textId="3A3084D1" w:rsidR="001B64BE" w:rsidRPr="001B64BE" w:rsidRDefault="001B64BE" w:rsidP="001B64B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characteristics compared to those under normal temperatures (e.g.</w:t>
            </w:r>
            <w:r w:rsidR="002E713E">
              <w:rPr>
                <w:rFonts w:ascii="Times New Roman" w:hAnsi="Times New Roman" w:cs="Times New Roman"/>
                <w:color w:val="0000FF"/>
                <w:sz w:val="22"/>
                <w:szCs w:val="22"/>
              </w:rPr>
              <w:t>,</w:t>
            </w:r>
            <w:r w:rsidRPr="001B64BE">
              <w:rPr>
                <w:rFonts w:ascii="Times New Roman" w:hAnsi="Times New Roman" w:cs="Times New Roman"/>
                <w:color w:val="0000FF"/>
                <w:sz w:val="22"/>
                <w:szCs w:val="22"/>
              </w:rPr>
              <w:t xml:space="preserve"> 23°C). This underscores the importance of examining the </w:t>
            </w:r>
          </w:p>
          <w:p w14:paraId="15798DE3" w14:textId="05B8DCE7" w:rsidR="009679C7" w:rsidRDefault="001B64BE" w:rsidP="001B64B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variations in I/SVOC emissions and exhaust component distribution from HDDVs across different temperature conditions. </w:t>
            </w:r>
          </w:p>
        </w:tc>
        <w:tc>
          <w:tcPr>
            <w:tcW w:w="453" w:type="pct"/>
            <w:tcBorders>
              <w:left w:val="single" w:sz="4" w:space="0" w:color="7F7F7F" w:themeColor="text1" w:themeTint="80"/>
            </w:tcBorders>
          </w:tcPr>
          <w:p w14:paraId="27E2A02C" w14:textId="512DEAC1" w:rsidR="009679C7" w:rsidRDefault="001B64BE"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Pr>
                <w:rFonts w:ascii="Times New Roman" w:hAnsi="Times New Roman" w:cs="Times New Roman" w:hint="eastAsia"/>
                <w:color w:val="0000FF"/>
                <w:sz w:val="22"/>
                <w:szCs w:val="22"/>
              </w:rPr>
              <w:t>5</w:t>
            </w:r>
            <w:r>
              <w:rPr>
                <w:rFonts w:ascii="Times New Roman" w:hAnsi="Times New Roman" w:cs="Times New Roman"/>
                <w:color w:val="0000FF"/>
                <w:sz w:val="22"/>
                <w:szCs w:val="22"/>
              </w:rPr>
              <w:t>2</w:t>
            </w:r>
          </w:p>
        </w:tc>
        <w:tc>
          <w:tcPr>
            <w:tcW w:w="2047" w:type="pct"/>
          </w:tcPr>
          <w:p w14:paraId="7344FC1A" w14:textId="0B1323F8" w:rsidR="009679C7" w:rsidRDefault="001B64BE"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Given that many regions in China experience temperatures below 0°C during winter, evaluating how HDDVs operate under such conditions is critical in I/SVOC emissions and exhaust component distribution across different temperature conditions.</w:t>
            </w:r>
          </w:p>
        </w:tc>
      </w:tr>
      <w:tr w:rsidR="009679C7" w14:paraId="50BF4161" w14:textId="77777777" w:rsidTr="001B64BE">
        <w:tc>
          <w:tcPr>
            <w:cnfStyle w:val="001000000000" w:firstRow="0" w:lastRow="0" w:firstColumn="1" w:lastColumn="0" w:oddVBand="0" w:evenVBand="0" w:oddHBand="0" w:evenHBand="0" w:firstRowFirstColumn="0" w:firstRowLastColumn="0" w:lastRowFirstColumn="0" w:lastRowLastColumn="0"/>
            <w:tcW w:w="410" w:type="pct"/>
          </w:tcPr>
          <w:p w14:paraId="4D50F444" w14:textId="1B3B4C58" w:rsidR="009679C7" w:rsidRDefault="001B64BE" w:rsidP="00A31E67">
            <w:pPr>
              <w:jc w:val="both"/>
              <w:rPr>
                <w:rFonts w:ascii="Times New Roman" w:hAnsi="Times New Roman" w:cs="Times New Roman"/>
                <w:b w:val="0"/>
                <w:bCs w:val="0"/>
                <w:color w:val="0000FF"/>
                <w:sz w:val="22"/>
                <w:szCs w:val="22"/>
              </w:rPr>
            </w:pPr>
            <w:r>
              <w:rPr>
                <w:rFonts w:ascii="Times New Roman" w:hAnsi="Times New Roman" w:cs="Times New Roman" w:hint="eastAsia"/>
                <w:b w:val="0"/>
                <w:bCs w:val="0"/>
                <w:color w:val="0000FF"/>
                <w:sz w:val="22"/>
                <w:szCs w:val="22"/>
              </w:rPr>
              <w:t>6</w:t>
            </w:r>
            <w:r>
              <w:rPr>
                <w:rFonts w:ascii="Times New Roman" w:hAnsi="Times New Roman" w:cs="Times New Roman"/>
                <w:b w:val="0"/>
                <w:bCs w:val="0"/>
                <w:color w:val="0000FF"/>
                <w:sz w:val="22"/>
                <w:szCs w:val="22"/>
              </w:rPr>
              <w:t>1</w:t>
            </w:r>
          </w:p>
        </w:tc>
        <w:tc>
          <w:tcPr>
            <w:tcW w:w="2090" w:type="pct"/>
            <w:tcBorders>
              <w:top w:val="single" w:sz="4" w:space="0" w:color="7F7F7F" w:themeColor="text1" w:themeTint="80"/>
              <w:bottom w:val="single" w:sz="4" w:space="0" w:color="7F7F7F" w:themeColor="text1" w:themeTint="80"/>
              <w:right w:val="single" w:sz="4" w:space="0" w:color="7F7F7F" w:themeColor="text1" w:themeTint="80"/>
            </w:tcBorders>
          </w:tcPr>
          <w:p w14:paraId="5CAF6367" w14:textId="77777777" w:rsidR="001B64BE" w:rsidRPr="001B64BE" w:rsidRDefault="001B64BE" w:rsidP="001B6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 In the study of Zhao et </w:t>
            </w:r>
          </w:p>
          <w:p w14:paraId="4F85534A" w14:textId="77777777" w:rsidR="001B64BE" w:rsidRPr="001B64BE" w:rsidRDefault="001B64BE" w:rsidP="001B6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al (2015), approximately 80% of I/SVOCs emitted by diesel vehicles remain unresolved by GC-MS, reckoned as UCM. </w:t>
            </w:r>
          </w:p>
          <w:p w14:paraId="48D914CD" w14:textId="77777777" w:rsidR="001B64BE" w:rsidRPr="001B64BE" w:rsidRDefault="001B64BE" w:rsidP="001B6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Moreover, due to the variability in the response signals detected by mass spectrometry for different complex organic </w:t>
            </w:r>
          </w:p>
          <w:p w14:paraId="4AFFCAEC" w14:textId="77777777" w:rsidR="001B64BE" w:rsidRPr="001B64BE" w:rsidRDefault="001B64BE" w:rsidP="001B6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 xml:space="preserve">compounds (He et al., 2022b), the lack of detailed component information introduces significant uncertainties in I/SVOC </w:t>
            </w:r>
          </w:p>
          <w:p w14:paraId="40D2C664" w14:textId="5218A064" w:rsidR="009679C7" w:rsidRDefault="001B64BE" w:rsidP="001B64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quantification and prediction of SOA formation potential (SOAFP).</w:t>
            </w:r>
          </w:p>
        </w:tc>
        <w:tc>
          <w:tcPr>
            <w:tcW w:w="453" w:type="pct"/>
            <w:tcBorders>
              <w:left w:val="single" w:sz="4" w:space="0" w:color="7F7F7F" w:themeColor="text1" w:themeTint="80"/>
            </w:tcBorders>
          </w:tcPr>
          <w:p w14:paraId="1FF0E066" w14:textId="03CE6679" w:rsidR="009679C7" w:rsidRDefault="001B64BE" w:rsidP="00A31E6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Pr>
                <w:rFonts w:ascii="Times New Roman" w:hAnsi="Times New Roman" w:cs="Times New Roman" w:hint="eastAsia"/>
                <w:color w:val="0000FF"/>
                <w:sz w:val="22"/>
                <w:szCs w:val="22"/>
              </w:rPr>
              <w:t>6</w:t>
            </w:r>
            <w:r>
              <w:rPr>
                <w:rFonts w:ascii="Times New Roman" w:hAnsi="Times New Roman" w:cs="Times New Roman"/>
                <w:color w:val="0000FF"/>
                <w:sz w:val="22"/>
                <w:szCs w:val="22"/>
              </w:rPr>
              <w:t>0</w:t>
            </w:r>
          </w:p>
        </w:tc>
        <w:tc>
          <w:tcPr>
            <w:tcW w:w="2047" w:type="pct"/>
          </w:tcPr>
          <w:p w14:paraId="7111BE52" w14:textId="76891DBE" w:rsidR="009679C7" w:rsidRDefault="001B64BE" w:rsidP="00A31E6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22"/>
                <w:szCs w:val="22"/>
              </w:rPr>
            </w:pPr>
            <w:r w:rsidRPr="001B64BE">
              <w:rPr>
                <w:rFonts w:ascii="Times New Roman" w:hAnsi="Times New Roman" w:cs="Times New Roman"/>
                <w:color w:val="0000FF"/>
                <w:sz w:val="22"/>
                <w:szCs w:val="22"/>
              </w:rPr>
              <w:t>For example, Zhao et al (2015) reported that 80% of I/SVOCs emitted by diesel vehicles were classified as UCM. This lack of detailed chemical information introduces uncertainties in I/SVOC quantification and prediction of SOA formation potential (SOAFP) (He et al., 2022b).</w:t>
            </w:r>
          </w:p>
        </w:tc>
      </w:tr>
      <w:tr w:rsidR="001B64BE" w14:paraId="2C874FA5" w14:textId="77777777" w:rsidTr="001B6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 w:type="pct"/>
          </w:tcPr>
          <w:p w14:paraId="07E24B9F" w14:textId="32890CB0" w:rsidR="001B64BE" w:rsidRDefault="006526D3" w:rsidP="00A31E67">
            <w:pPr>
              <w:jc w:val="both"/>
              <w:rPr>
                <w:rFonts w:ascii="Times New Roman" w:hAnsi="Times New Roman" w:cs="Times New Roman"/>
                <w:b w:val="0"/>
                <w:bCs w:val="0"/>
                <w:color w:val="0000FF"/>
                <w:sz w:val="22"/>
                <w:szCs w:val="22"/>
              </w:rPr>
            </w:pPr>
            <w:r>
              <w:rPr>
                <w:rFonts w:ascii="Times New Roman" w:hAnsi="Times New Roman" w:cs="Times New Roman" w:hint="eastAsia"/>
                <w:b w:val="0"/>
                <w:bCs w:val="0"/>
                <w:color w:val="0000FF"/>
                <w:sz w:val="22"/>
                <w:szCs w:val="22"/>
              </w:rPr>
              <w:t>1</w:t>
            </w:r>
            <w:r>
              <w:rPr>
                <w:rFonts w:ascii="Times New Roman" w:hAnsi="Times New Roman" w:cs="Times New Roman"/>
                <w:b w:val="0"/>
                <w:bCs w:val="0"/>
                <w:color w:val="0000FF"/>
                <w:sz w:val="22"/>
                <w:szCs w:val="22"/>
              </w:rPr>
              <w:t>82</w:t>
            </w:r>
          </w:p>
        </w:tc>
        <w:tc>
          <w:tcPr>
            <w:tcW w:w="2090" w:type="pct"/>
            <w:tcBorders>
              <w:right w:val="single" w:sz="4" w:space="0" w:color="7F7F7F" w:themeColor="text1" w:themeTint="80"/>
            </w:tcBorders>
          </w:tcPr>
          <w:p w14:paraId="0F7BD77A" w14:textId="4A63AE45" w:rsidR="001B64BE" w:rsidRPr="001B64BE" w:rsidRDefault="006526D3" w:rsidP="006526D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6526D3">
              <w:rPr>
                <w:rFonts w:ascii="Times New Roman" w:hAnsi="Times New Roman" w:cs="Times New Roman"/>
                <w:color w:val="0000FF"/>
                <w:sz w:val="22"/>
                <w:szCs w:val="22"/>
              </w:rPr>
              <w:t>The alkane proportion was lower but O-I/SVOC proportion was higher than that in previous studies (alkane: 37% to 66%, O</w:t>
            </w:r>
            <w:r>
              <w:rPr>
                <w:rFonts w:ascii="Times New Roman" w:hAnsi="Times New Roman" w:cs="Times New Roman"/>
                <w:color w:val="0000FF"/>
                <w:sz w:val="22"/>
                <w:szCs w:val="22"/>
              </w:rPr>
              <w:t>-</w:t>
            </w:r>
            <w:r w:rsidRPr="006526D3">
              <w:rPr>
                <w:rFonts w:ascii="Times New Roman" w:hAnsi="Times New Roman" w:cs="Times New Roman"/>
                <w:color w:val="0000FF"/>
                <w:sz w:val="22"/>
                <w:szCs w:val="22"/>
              </w:rPr>
              <w:t>I/SVOCs: 20% to 27%) (He et al., 2022b; Zhang et al., 2024a).</w:t>
            </w:r>
          </w:p>
        </w:tc>
        <w:tc>
          <w:tcPr>
            <w:tcW w:w="453" w:type="pct"/>
            <w:tcBorders>
              <w:left w:val="single" w:sz="4" w:space="0" w:color="7F7F7F" w:themeColor="text1" w:themeTint="80"/>
            </w:tcBorders>
          </w:tcPr>
          <w:p w14:paraId="1D061197" w14:textId="79DC8A27" w:rsidR="001B64BE" w:rsidRDefault="006526D3"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Pr>
                <w:rFonts w:ascii="Times New Roman" w:hAnsi="Times New Roman" w:cs="Times New Roman" w:hint="eastAsia"/>
                <w:color w:val="0000FF"/>
                <w:sz w:val="22"/>
                <w:szCs w:val="22"/>
              </w:rPr>
              <w:t>1</w:t>
            </w:r>
            <w:r>
              <w:rPr>
                <w:rFonts w:ascii="Times New Roman" w:hAnsi="Times New Roman" w:cs="Times New Roman"/>
                <w:color w:val="0000FF"/>
                <w:sz w:val="22"/>
                <w:szCs w:val="22"/>
              </w:rPr>
              <w:t>82</w:t>
            </w:r>
          </w:p>
        </w:tc>
        <w:tc>
          <w:tcPr>
            <w:tcW w:w="2047" w:type="pct"/>
          </w:tcPr>
          <w:p w14:paraId="0CDD9AC6" w14:textId="607CF436" w:rsidR="001B64BE" w:rsidRPr="001B64BE" w:rsidRDefault="006526D3" w:rsidP="00A31E6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22"/>
                <w:szCs w:val="22"/>
              </w:rPr>
            </w:pPr>
            <w:r w:rsidRPr="006526D3">
              <w:rPr>
                <w:rFonts w:ascii="Times New Roman" w:hAnsi="Times New Roman" w:cs="Times New Roman"/>
                <w:color w:val="0000FF"/>
                <w:sz w:val="22"/>
                <w:szCs w:val="22"/>
              </w:rPr>
              <w:t>The proportion of O-I/SVOCs was notably higher in this study compared to previous research, where alkanes typically accounted for 37% to 66% and O-I/SVOCs for 20% to 27% (He et al., 2022b; Zhang et al., 2024a).</w:t>
            </w:r>
          </w:p>
        </w:tc>
      </w:tr>
    </w:tbl>
    <w:p w14:paraId="159217BF" w14:textId="77777777" w:rsidR="009679C7" w:rsidRDefault="009679C7" w:rsidP="00A31E67">
      <w:pPr>
        <w:jc w:val="both"/>
        <w:rPr>
          <w:rFonts w:ascii="Times New Roman" w:hAnsi="Times New Roman" w:cs="Times New Roman"/>
          <w:color w:val="0000FF"/>
          <w:sz w:val="22"/>
          <w:szCs w:val="22"/>
        </w:rPr>
      </w:pPr>
    </w:p>
    <w:p w14:paraId="4129EEBA" w14:textId="77777777" w:rsidR="000134EA" w:rsidRPr="00BE735C" w:rsidRDefault="000134EA" w:rsidP="000134EA">
      <w:pPr>
        <w:rPr>
          <w:rFonts w:ascii="Times New Roman" w:hAnsi="Times New Roman" w:cs="Times New Roman"/>
          <w:b/>
          <w:bCs/>
          <w:i/>
          <w:iCs/>
          <w:color w:val="000000" w:themeColor="text1"/>
          <w:sz w:val="22"/>
          <w:szCs w:val="22"/>
        </w:rPr>
      </w:pPr>
      <w:r w:rsidRPr="00BE735C">
        <w:rPr>
          <w:rFonts w:ascii="Times New Roman" w:hAnsi="Times New Roman" w:cs="Times New Roman"/>
          <w:b/>
          <w:bCs/>
          <w:i/>
          <w:iCs/>
          <w:color w:val="000000" w:themeColor="text1"/>
          <w:sz w:val="22"/>
          <w:szCs w:val="22"/>
        </w:rPr>
        <w:t>References:</w:t>
      </w:r>
    </w:p>
    <w:p w14:paraId="3E753E97" w14:textId="16B7242F" w:rsidR="00E6039F" w:rsidRDefault="00E6039F" w:rsidP="00A31E67">
      <w:pPr>
        <w:jc w:val="both"/>
        <w:rPr>
          <w:rFonts w:ascii="Times New Roman" w:hAnsi="Times New Roman" w:cs="Times New Roman"/>
          <w:i/>
          <w:iCs/>
          <w:sz w:val="22"/>
          <w:szCs w:val="22"/>
        </w:rPr>
      </w:pPr>
      <w:r w:rsidRPr="00E6039F">
        <w:rPr>
          <w:rFonts w:ascii="Times New Roman" w:hAnsi="Times New Roman" w:cs="Times New Roman"/>
          <w:i/>
          <w:iCs/>
          <w:sz w:val="22"/>
          <w:szCs w:val="22"/>
        </w:rPr>
        <w:t xml:space="preserve">Chang, X., Zhao, B., Zheng, H., Wang, S., Cai, S., Guo, F., </w:t>
      </w:r>
      <w:proofErr w:type="spellStart"/>
      <w:r w:rsidRPr="00E6039F">
        <w:rPr>
          <w:rFonts w:ascii="Times New Roman" w:hAnsi="Times New Roman" w:cs="Times New Roman"/>
          <w:i/>
          <w:iCs/>
          <w:sz w:val="22"/>
          <w:szCs w:val="22"/>
        </w:rPr>
        <w:t>Gui</w:t>
      </w:r>
      <w:proofErr w:type="spellEnd"/>
      <w:r w:rsidRPr="00E6039F">
        <w:rPr>
          <w:rFonts w:ascii="Times New Roman" w:hAnsi="Times New Roman" w:cs="Times New Roman"/>
          <w:i/>
          <w:iCs/>
          <w:sz w:val="22"/>
          <w:szCs w:val="22"/>
        </w:rPr>
        <w:t xml:space="preserve">, P., Huang, G., Wu, D., Han, L., Xing, J., Man, H., Hu, R., Liang, C., Xu, Q., </w:t>
      </w:r>
      <w:proofErr w:type="spellStart"/>
      <w:r w:rsidRPr="00E6039F">
        <w:rPr>
          <w:rFonts w:ascii="Times New Roman" w:hAnsi="Times New Roman" w:cs="Times New Roman"/>
          <w:i/>
          <w:iCs/>
          <w:sz w:val="22"/>
          <w:szCs w:val="22"/>
        </w:rPr>
        <w:t>Qiu</w:t>
      </w:r>
      <w:proofErr w:type="spellEnd"/>
      <w:r w:rsidRPr="00E6039F">
        <w:rPr>
          <w:rFonts w:ascii="Times New Roman" w:hAnsi="Times New Roman" w:cs="Times New Roman"/>
          <w:i/>
          <w:iCs/>
          <w:sz w:val="22"/>
          <w:szCs w:val="22"/>
        </w:rPr>
        <w:t>, X., Ding, D., Liu, K., Han, R., Robinson, A. L., and Donahue, N. M.: Full-volatility emission framework corrects missing and underestimated secondary organic aerosol sources, One Earth, 5, 403–412, https://doi.org/10.1016/j.oneear.2022.03.015, 2022.</w:t>
      </w:r>
    </w:p>
    <w:p w14:paraId="1DF0107D" w14:textId="77777777" w:rsidR="005A1740" w:rsidRPr="00BE735C" w:rsidRDefault="005A1740" w:rsidP="005A1740">
      <w:pPr>
        <w:jc w:val="both"/>
        <w:rPr>
          <w:rFonts w:ascii="Times New Roman" w:hAnsi="Times New Roman" w:cs="Times New Roman"/>
          <w:i/>
          <w:iCs/>
          <w:sz w:val="22"/>
          <w:szCs w:val="22"/>
        </w:rPr>
      </w:pPr>
      <w:r w:rsidRPr="00BE735C">
        <w:rPr>
          <w:rFonts w:ascii="Times New Roman" w:hAnsi="Times New Roman" w:cs="Times New Roman"/>
          <w:i/>
          <w:iCs/>
          <w:sz w:val="22"/>
          <w:szCs w:val="22"/>
        </w:rPr>
        <w:t>He, X., Zheng, X., Zhang, S., Wang, X., Chen, T., Zhang, X., Huang, G., Cao, Y., He, L., Cao, X., Cheng, Y., Wang, S., and Wu, Y.: Comprehensive characterization of particulate intermediate-volatility and semi-volatile organic compounds (I/SVOCs) from heavy-duty diesel vehicles using two-dimensional gas chromatography time-of-flight mass spectrometry, Atmos. Chem. Phys., 22, 13935–13947, https://doi.org/10.5194/acp-22-13935-2022, 2022a.</w:t>
      </w:r>
    </w:p>
    <w:p w14:paraId="1DB557B1" w14:textId="77777777" w:rsidR="005A1740" w:rsidRPr="00BE735C" w:rsidRDefault="005A1740" w:rsidP="005A1740">
      <w:pPr>
        <w:jc w:val="both"/>
        <w:rPr>
          <w:rFonts w:ascii="Times New Roman" w:hAnsi="Times New Roman" w:cs="Times New Roman"/>
          <w:i/>
          <w:iCs/>
          <w:sz w:val="22"/>
          <w:szCs w:val="22"/>
        </w:rPr>
      </w:pPr>
      <w:r w:rsidRPr="00BE735C">
        <w:rPr>
          <w:rFonts w:ascii="Times New Roman" w:hAnsi="Times New Roman" w:cs="Times New Roman"/>
          <w:i/>
          <w:iCs/>
          <w:sz w:val="22"/>
          <w:szCs w:val="22"/>
        </w:rPr>
        <w:t xml:space="preserve">He, X., Zheng, X., You, Y., Zhang, S., Zhao, B., Wang, X., Huang, G., Chen, T., Cao, Y., He, L., Chang, X., Wang, S., and Wu, Y.: Comprehensive chemical characterization of gaseous I/SVOC emissions from heavy-duty diesel vehicles using two-dimensional gas chromatography time-of-flight mass spectrometry, Environ. </w:t>
      </w:r>
      <w:proofErr w:type="spellStart"/>
      <w:r w:rsidRPr="00BE735C">
        <w:rPr>
          <w:rFonts w:ascii="Times New Roman" w:hAnsi="Times New Roman" w:cs="Times New Roman"/>
          <w:i/>
          <w:iCs/>
          <w:sz w:val="22"/>
          <w:szCs w:val="22"/>
        </w:rPr>
        <w:t>Pollut</w:t>
      </w:r>
      <w:proofErr w:type="spellEnd"/>
      <w:r w:rsidRPr="00BE735C">
        <w:rPr>
          <w:rFonts w:ascii="Times New Roman" w:hAnsi="Times New Roman" w:cs="Times New Roman"/>
          <w:i/>
          <w:iCs/>
          <w:sz w:val="22"/>
          <w:szCs w:val="22"/>
        </w:rPr>
        <w:t>., 305, 119284, https://doi.org/10.1016/j.envpol.2022.119284, 2022b.</w:t>
      </w:r>
    </w:p>
    <w:p w14:paraId="7729275C" w14:textId="4ECE2CE7" w:rsidR="005A1740" w:rsidRDefault="005A1740" w:rsidP="005A1740">
      <w:pPr>
        <w:jc w:val="both"/>
        <w:rPr>
          <w:rFonts w:ascii="Times New Roman" w:hAnsi="Times New Roman" w:cs="Times New Roman"/>
          <w:i/>
          <w:iCs/>
          <w:sz w:val="22"/>
          <w:szCs w:val="22"/>
        </w:rPr>
      </w:pPr>
      <w:r w:rsidRPr="00BE735C">
        <w:rPr>
          <w:rFonts w:ascii="Times New Roman" w:hAnsi="Times New Roman" w:cs="Times New Roman"/>
          <w:i/>
          <w:iCs/>
          <w:sz w:val="22"/>
          <w:szCs w:val="22"/>
        </w:rPr>
        <w:t>He, X., Zheng, X., Guo, S., Zeng, L., Chen, T., Yang, B., Xiao, S., Wang, Q., Li, Z., You, Y., Zhang, S., and Wu, Y.: Automated compound speciation, cluster analysis, and quantification of organic vapors and aerosols using comprehensive two-dimensional gas chromatography and mass spectrometry, Atmos. Chem. Phys., 24, 10655–10666, https://doi.org/10.5194/acp-24-10655-2024, 2024.</w:t>
      </w:r>
    </w:p>
    <w:p w14:paraId="569D6AC4" w14:textId="2AB34E62" w:rsidR="00B82330" w:rsidRPr="00B82330" w:rsidRDefault="00B82330" w:rsidP="005A1740">
      <w:pPr>
        <w:jc w:val="both"/>
        <w:rPr>
          <w:rFonts w:ascii="Times New Roman" w:hAnsi="Times New Roman" w:cs="Times New Roman"/>
          <w:i/>
          <w:iCs/>
          <w:sz w:val="22"/>
          <w:szCs w:val="22"/>
        </w:rPr>
      </w:pPr>
      <w:r w:rsidRPr="00B82330">
        <w:rPr>
          <w:rFonts w:ascii="Times New Roman" w:hAnsi="Times New Roman" w:cs="Times New Roman"/>
          <w:i/>
          <w:iCs/>
          <w:sz w:val="22"/>
          <w:szCs w:val="22"/>
        </w:rPr>
        <w:t>Liu, Y., Li, Y., Yuan, Z., Wang, H., Sha, Q., Lou, S., Liu, Y., Hao, Y., Duan, L., Ye, P., Zheng, J., Yuan, B., and Shao, M.: Identification of two main origins of intermediate-volatility organic compound emissions from vehicles in China through two-phase simultaneous characterization, Environmental Pollution, 281, 117020, https://doi.org/10.1016/j.envpol.2021.117020, 2021.</w:t>
      </w:r>
    </w:p>
    <w:p w14:paraId="4DA83DC1" w14:textId="2DE28AFB" w:rsidR="008C2973" w:rsidRDefault="008C2973" w:rsidP="005A1740">
      <w:pPr>
        <w:jc w:val="both"/>
        <w:rPr>
          <w:rFonts w:ascii="Times New Roman" w:hAnsi="Times New Roman" w:cs="Times New Roman"/>
          <w:i/>
          <w:iCs/>
          <w:sz w:val="22"/>
          <w:szCs w:val="22"/>
        </w:rPr>
      </w:pPr>
      <w:r w:rsidRPr="00BE735C">
        <w:rPr>
          <w:rFonts w:ascii="Times New Roman" w:hAnsi="Times New Roman" w:cs="Times New Roman"/>
          <w:i/>
          <w:iCs/>
          <w:sz w:val="22"/>
          <w:szCs w:val="22"/>
        </w:rPr>
        <w:t xml:space="preserve">Tang, R., Lu, Q., Guo, S., Wang, H., Song, K., Yu, Y., Tan, R., Liu, K., Shen, R., Chen, S., Zeng, L., </w:t>
      </w:r>
      <w:proofErr w:type="spellStart"/>
      <w:r w:rsidRPr="00BE735C">
        <w:rPr>
          <w:rFonts w:ascii="Times New Roman" w:hAnsi="Times New Roman" w:cs="Times New Roman"/>
          <w:i/>
          <w:iCs/>
          <w:sz w:val="22"/>
          <w:szCs w:val="22"/>
        </w:rPr>
        <w:t>Jorga</w:t>
      </w:r>
      <w:proofErr w:type="spellEnd"/>
      <w:r w:rsidRPr="00BE735C">
        <w:rPr>
          <w:rFonts w:ascii="Times New Roman" w:hAnsi="Times New Roman" w:cs="Times New Roman"/>
          <w:i/>
          <w:iCs/>
          <w:sz w:val="22"/>
          <w:szCs w:val="22"/>
        </w:rPr>
        <w:t>, S. D., Zhang, Z., Zhang, W., Shuai, S., and Robinson, A. L.: Measurement report: Distinct emissions and volatility distribution of intermediate-volatility organic compounds from on-road Chinese gasoline vehicles: implication of high secondary organic aerosol formation potential, Atmos. Chem. Phys., 21, 2569–2583, https://doi.org/10.5194/acp-21-2569-2021, 2021.</w:t>
      </w:r>
    </w:p>
    <w:p w14:paraId="66FA9786" w14:textId="0FF19864" w:rsidR="00035A7D" w:rsidRPr="00BE735C" w:rsidRDefault="00035A7D" w:rsidP="005A1740">
      <w:pPr>
        <w:jc w:val="both"/>
        <w:rPr>
          <w:rFonts w:ascii="Times New Roman" w:hAnsi="Times New Roman" w:cs="Times New Roman"/>
          <w:i/>
          <w:iCs/>
          <w:sz w:val="22"/>
          <w:szCs w:val="22"/>
        </w:rPr>
      </w:pPr>
      <w:r w:rsidRPr="00035A7D">
        <w:rPr>
          <w:rFonts w:ascii="Times New Roman" w:hAnsi="Times New Roman" w:cs="Times New Roman"/>
          <w:i/>
          <w:iCs/>
          <w:sz w:val="22"/>
          <w:szCs w:val="22"/>
        </w:rPr>
        <w:t>Zhang, Z., Man, H., Zhao, J., Huang, W., Huang, C., Jing, S., Luo, Z., Zhao, X., Chen, D., He, K., and Liu, H.: VOC and IVOC emission features and inventory of motorcycles in China, Journal of Hazardous Materials, 469, 133928, https://doi.org/10.1016/j.jhazmat.2024.133928, 2024.</w:t>
      </w:r>
    </w:p>
    <w:p w14:paraId="2EAC547F" w14:textId="2F2E3975" w:rsidR="00955A0A" w:rsidRPr="00BE735C" w:rsidRDefault="00955A0A" w:rsidP="005A1740">
      <w:pPr>
        <w:jc w:val="both"/>
        <w:rPr>
          <w:rFonts w:ascii="Times New Roman" w:hAnsi="Times New Roman" w:cs="Times New Roman"/>
          <w:i/>
          <w:iCs/>
          <w:sz w:val="22"/>
          <w:szCs w:val="22"/>
        </w:rPr>
      </w:pPr>
      <w:r w:rsidRPr="00BE735C">
        <w:rPr>
          <w:rFonts w:ascii="Times New Roman" w:hAnsi="Times New Roman" w:cs="Times New Roman"/>
          <w:i/>
          <w:iCs/>
          <w:sz w:val="22"/>
          <w:szCs w:val="22"/>
        </w:rPr>
        <w:t>Zhao, Y., Nguyen, N. T., Presto, A. A., Hennigan, C. J., May, A. A., and Robinson, A. L.: Intermediate volatility organic compound emissions from on-road diesel vehicles: chemical composition, emission factors, and estimated secondary organic aerosol production, Environ. Sci. Technol., 49, 11516–11526, https://doi.org/10.1021/acs.est.5b02841, 2015.</w:t>
      </w:r>
    </w:p>
    <w:p w14:paraId="1B5F16F9" w14:textId="40B2F808" w:rsidR="00955A0A" w:rsidRDefault="00955A0A" w:rsidP="005A1740">
      <w:pPr>
        <w:jc w:val="both"/>
        <w:rPr>
          <w:rFonts w:ascii="Times New Roman" w:hAnsi="Times New Roman" w:cs="Times New Roman"/>
          <w:i/>
          <w:iCs/>
          <w:sz w:val="22"/>
          <w:szCs w:val="22"/>
        </w:rPr>
      </w:pPr>
      <w:r w:rsidRPr="00BE735C">
        <w:rPr>
          <w:rFonts w:ascii="Times New Roman" w:hAnsi="Times New Roman" w:cs="Times New Roman"/>
          <w:i/>
          <w:iCs/>
          <w:sz w:val="22"/>
          <w:szCs w:val="22"/>
        </w:rPr>
        <w:lastRenderedPageBreak/>
        <w:t>Zhao, Y., Nguyen, N. T., Presto, A. A., Hennigan, C. J., May, A. A., and Robinson, A. L.: Intermediate volatility organic compound emissions from on-road gasoline vehicles and small off-road gasoline engines, Environ. Sci. Technol., 50, 4554–4563, https://doi.org/10.1021/acs.est.5b06247, 2016.</w:t>
      </w:r>
    </w:p>
    <w:p w14:paraId="2CE216AA" w14:textId="105B08CA" w:rsidR="00035A7D" w:rsidRPr="00BE735C" w:rsidRDefault="00035A7D" w:rsidP="005A1740">
      <w:pPr>
        <w:jc w:val="both"/>
        <w:rPr>
          <w:rFonts w:ascii="Times New Roman" w:hAnsi="Times New Roman" w:cs="Times New Roman"/>
          <w:i/>
          <w:iCs/>
          <w:sz w:val="22"/>
          <w:szCs w:val="22"/>
        </w:rPr>
      </w:pPr>
      <w:r w:rsidRPr="00035A7D">
        <w:rPr>
          <w:rFonts w:ascii="Times New Roman" w:hAnsi="Times New Roman" w:cs="Times New Roman"/>
          <w:i/>
          <w:iCs/>
          <w:sz w:val="22"/>
          <w:szCs w:val="22"/>
        </w:rPr>
        <w:t xml:space="preserve">Zhao, J., Qi, L., </w:t>
      </w:r>
      <w:proofErr w:type="spellStart"/>
      <w:r w:rsidRPr="00035A7D">
        <w:rPr>
          <w:rFonts w:ascii="Times New Roman" w:hAnsi="Times New Roman" w:cs="Times New Roman"/>
          <w:i/>
          <w:iCs/>
          <w:sz w:val="22"/>
          <w:szCs w:val="22"/>
        </w:rPr>
        <w:t>Lv</w:t>
      </w:r>
      <w:proofErr w:type="spellEnd"/>
      <w:r w:rsidRPr="00035A7D">
        <w:rPr>
          <w:rFonts w:ascii="Times New Roman" w:hAnsi="Times New Roman" w:cs="Times New Roman"/>
          <w:i/>
          <w:iCs/>
          <w:sz w:val="22"/>
          <w:szCs w:val="22"/>
        </w:rPr>
        <w:t xml:space="preserve">, Z., Wang, X., Deng, F., Zhang, Z., Luo, Z., </w:t>
      </w:r>
      <w:proofErr w:type="spellStart"/>
      <w:r w:rsidRPr="00035A7D">
        <w:rPr>
          <w:rFonts w:ascii="Times New Roman" w:hAnsi="Times New Roman" w:cs="Times New Roman"/>
          <w:i/>
          <w:iCs/>
          <w:sz w:val="22"/>
          <w:szCs w:val="22"/>
        </w:rPr>
        <w:t>Bie</w:t>
      </w:r>
      <w:proofErr w:type="spellEnd"/>
      <w:r w:rsidRPr="00035A7D">
        <w:rPr>
          <w:rFonts w:ascii="Times New Roman" w:hAnsi="Times New Roman" w:cs="Times New Roman"/>
          <w:i/>
          <w:iCs/>
          <w:sz w:val="22"/>
          <w:szCs w:val="22"/>
        </w:rPr>
        <w:t>, P., He, K., and Liu, H.: An updated comprehensive IVOC emission inventory for mobile sources in China, Science of The Total Environment, 851, 158312, https://doi.org/10.1016/j.scitotenv.2022.158312, 2022.</w:t>
      </w:r>
    </w:p>
    <w:sectPr w:rsidR="00035A7D" w:rsidRPr="00BE735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E7197" w14:textId="77777777" w:rsidR="007469A6" w:rsidRDefault="007469A6" w:rsidP="005D6211">
      <w:pPr>
        <w:spacing w:after="0" w:line="240" w:lineRule="auto"/>
      </w:pPr>
      <w:r>
        <w:separator/>
      </w:r>
    </w:p>
  </w:endnote>
  <w:endnote w:type="continuationSeparator" w:id="0">
    <w:p w14:paraId="0D87D94E" w14:textId="77777777" w:rsidR="007469A6" w:rsidRDefault="007469A6" w:rsidP="005D6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6BCF" w14:textId="77777777" w:rsidR="007469A6" w:rsidRDefault="007469A6" w:rsidP="005D6211">
      <w:pPr>
        <w:spacing w:after="0" w:line="240" w:lineRule="auto"/>
      </w:pPr>
      <w:r>
        <w:separator/>
      </w:r>
    </w:p>
  </w:footnote>
  <w:footnote w:type="continuationSeparator" w:id="0">
    <w:p w14:paraId="1BC87770" w14:textId="77777777" w:rsidR="007469A6" w:rsidRDefault="007469A6" w:rsidP="005D62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C446C"/>
    <w:multiLevelType w:val="hybridMultilevel"/>
    <w:tmpl w:val="AA422EB6"/>
    <w:lvl w:ilvl="0" w:tplc="FD28A3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E063B31"/>
    <w:multiLevelType w:val="hybridMultilevel"/>
    <w:tmpl w:val="BDDE9234"/>
    <w:lvl w:ilvl="0" w:tplc="2B547FA0">
      <w:start w:val="1"/>
      <w:numFmt w:val="decimal"/>
      <w:suff w:val="spac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CS&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d9et5fwss0e5fes5eypv999ars2xeszw0d2&quot;&gt;My EndNote Library&lt;record-ids&gt;&lt;item&gt;2&lt;/item&gt;&lt;item&gt;128&lt;/item&gt;&lt;/record-ids&gt;&lt;/item&gt;&lt;/Libraries&gt;"/>
  </w:docVars>
  <w:rsids>
    <w:rsidRoot w:val="00222404"/>
    <w:rsid w:val="00002938"/>
    <w:rsid w:val="00002EFD"/>
    <w:rsid w:val="000039D7"/>
    <w:rsid w:val="000124CA"/>
    <w:rsid w:val="000127DD"/>
    <w:rsid w:val="000134EA"/>
    <w:rsid w:val="000144B5"/>
    <w:rsid w:val="00017754"/>
    <w:rsid w:val="000228B4"/>
    <w:rsid w:val="00026DAC"/>
    <w:rsid w:val="00035A7D"/>
    <w:rsid w:val="000511F2"/>
    <w:rsid w:val="00054F1E"/>
    <w:rsid w:val="00056ED3"/>
    <w:rsid w:val="000628D8"/>
    <w:rsid w:val="00063D71"/>
    <w:rsid w:val="0006786B"/>
    <w:rsid w:val="00076BB6"/>
    <w:rsid w:val="000805D7"/>
    <w:rsid w:val="000837DD"/>
    <w:rsid w:val="0009207E"/>
    <w:rsid w:val="00095829"/>
    <w:rsid w:val="00095A7E"/>
    <w:rsid w:val="00096667"/>
    <w:rsid w:val="000A6677"/>
    <w:rsid w:val="000A6C28"/>
    <w:rsid w:val="000B2F36"/>
    <w:rsid w:val="000C0BC1"/>
    <w:rsid w:val="000E284A"/>
    <w:rsid w:val="000E2C6F"/>
    <w:rsid w:val="000F36D5"/>
    <w:rsid w:val="000F7C1B"/>
    <w:rsid w:val="00100EEA"/>
    <w:rsid w:val="00111D33"/>
    <w:rsid w:val="001122E8"/>
    <w:rsid w:val="0011666D"/>
    <w:rsid w:val="0012108E"/>
    <w:rsid w:val="001248C0"/>
    <w:rsid w:val="00127B9D"/>
    <w:rsid w:val="00127D58"/>
    <w:rsid w:val="00132D7A"/>
    <w:rsid w:val="00151D1F"/>
    <w:rsid w:val="00160026"/>
    <w:rsid w:val="0016502A"/>
    <w:rsid w:val="001677CD"/>
    <w:rsid w:val="00170C3F"/>
    <w:rsid w:val="00185D1C"/>
    <w:rsid w:val="001A4985"/>
    <w:rsid w:val="001A6A6F"/>
    <w:rsid w:val="001B5FA2"/>
    <w:rsid w:val="001B64BE"/>
    <w:rsid w:val="001C30D0"/>
    <w:rsid w:val="001C53CD"/>
    <w:rsid w:val="001D18F1"/>
    <w:rsid w:val="001D1EDF"/>
    <w:rsid w:val="001D26CC"/>
    <w:rsid w:val="001E2374"/>
    <w:rsid w:val="001E70C0"/>
    <w:rsid w:val="001F26D3"/>
    <w:rsid w:val="001F65C7"/>
    <w:rsid w:val="00200B5B"/>
    <w:rsid w:val="0020156A"/>
    <w:rsid w:val="0021209B"/>
    <w:rsid w:val="00222404"/>
    <w:rsid w:val="002228B8"/>
    <w:rsid w:val="002311B1"/>
    <w:rsid w:val="0023365C"/>
    <w:rsid w:val="00245005"/>
    <w:rsid w:val="002475B0"/>
    <w:rsid w:val="002539BE"/>
    <w:rsid w:val="002628E8"/>
    <w:rsid w:val="00275466"/>
    <w:rsid w:val="002775CB"/>
    <w:rsid w:val="002A2270"/>
    <w:rsid w:val="002A3A00"/>
    <w:rsid w:val="002A6D2B"/>
    <w:rsid w:val="002A756C"/>
    <w:rsid w:val="002D5B5F"/>
    <w:rsid w:val="002D6059"/>
    <w:rsid w:val="002E0E91"/>
    <w:rsid w:val="002E713E"/>
    <w:rsid w:val="002F2990"/>
    <w:rsid w:val="003011F7"/>
    <w:rsid w:val="00311355"/>
    <w:rsid w:val="00316738"/>
    <w:rsid w:val="003210C2"/>
    <w:rsid w:val="00323BF5"/>
    <w:rsid w:val="00326FBB"/>
    <w:rsid w:val="00331979"/>
    <w:rsid w:val="00335F69"/>
    <w:rsid w:val="00352471"/>
    <w:rsid w:val="00360EDD"/>
    <w:rsid w:val="003812FD"/>
    <w:rsid w:val="00382D15"/>
    <w:rsid w:val="00391158"/>
    <w:rsid w:val="003A026D"/>
    <w:rsid w:val="003B488F"/>
    <w:rsid w:val="003C4AC9"/>
    <w:rsid w:val="003D0CD9"/>
    <w:rsid w:val="003D2554"/>
    <w:rsid w:val="003E1D82"/>
    <w:rsid w:val="003E3056"/>
    <w:rsid w:val="003E5947"/>
    <w:rsid w:val="003E674C"/>
    <w:rsid w:val="00415C15"/>
    <w:rsid w:val="00416276"/>
    <w:rsid w:val="00422930"/>
    <w:rsid w:val="00425BC8"/>
    <w:rsid w:val="004358F9"/>
    <w:rsid w:val="00456663"/>
    <w:rsid w:val="00463D95"/>
    <w:rsid w:val="004701BF"/>
    <w:rsid w:val="00470A07"/>
    <w:rsid w:val="00475A38"/>
    <w:rsid w:val="00477E49"/>
    <w:rsid w:val="0048317F"/>
    <w:rsid w:val="00485975"/>
    <w:rsid w:val="004866E8"/>
    <w:rsid w:val="0049102E"/>
    <w:rsid w:val="004957FA"/>
    <w:rsid w:val="0049710D"/>
    <w:rsid w:val="004A337A"/>
    <w:rsid w:val="004A6534"/>
    <w:rsid w:val="004B2A4F"/>
    <w:rsid w:val="004B7904"/>
    <w:rsid w:val="004C09FA"/>
    <w:rsid w:val="004D2481"/>
    <w:rsid w:val="004D2B30"/>
    <w:rsid w:val="004D2F3D"/>
    <w:rsid w:val="004D323C"/>
    <w:rsid w:val="004E2245"/>
    <w:rsid w:val="004F639E"/>
    <w:rsid w:val="004F7551"/>
    <w:rsid w:val="00501457"/>
    <w:rsid w:val="00505A96"/>
    <w:rsid w:val="00507976"/>
    <w:rsid w:val="0051187D"/>
    <w:rsid w:val="00525071"/>
    <w:rsid w:val="005312E4"/>
    <w:rsid w:val="00532499"/>
    <w:rsid w:val="0053751B"/>
    <w:rsid w:val="00547978"/>
    <w:rsid w:val="0055063D"/>
    <w:rsid w:val="00562E6C"/>
    <w:rsid w:val="00565979"/>
    <w:rsid w:val="00571A08"/>
    <w:rsid w:val="005735E1"/>
    <w:rsid w:val="005802A3"/>
    <w:rsid w:val="0058356F"/>
    <w:rsid w:val="0059620D"/>
    <w:rsid w:val="00597D12"/>
    <w:rsid w:val="005A1740"/>
    <w:rsid w:val="005A1AEB"/>
    <w:rsid w:val="005A388E"/>
    <w:rsid w:val="005B0453"/>
    <w:rsid w:val="005B08D6"/>
    <w:rsid w:val="005B2EA4"/>
    <w:rsid w:val="005B3C46"/>
    <w:rsid w:val="005B50A4"/>
    <w:rsid w:val="005D24ED"/>
    <w:rsid w:val="005D6211"/>
    <w:rsid w:val="005E3C49"/>
    <w:rsid w:val="005E79CF"/>
    <w:rsid w:val="005F0806"/>
    <w:rsid w:val="005F3580"/>
    <w:rsid w:val="00607A2F"/>
    <w:rsid w:val="0061051C"/>
    <w:rsid w:val="00622C0B"/>
    <w:rsid w:val="00632F4E"/>
    <w:rsid w:val="00634DC5"/>
    <w:rsid w:val="00637F31"/>
    <w:rsid w:val="006417B5"/>
    <w:rsid w:val="00645C5C"/>
    <w:rsid w:val="006526D3"/>
    <w:rsid w:val="0065601A"/>
    <w:rsid w:val="00660AB2"/>
    <w:rsid w:val="006632C7"/>
    <w:rsid w:val="0066404D"/>
    <w:rsid w:val="00675844"/>
    <w:rsid w:val="00685AE2"/>
    <w:rsid w:val="0068698E"/>
    <w:rsid w:val="00686C1F"/>
    <w:rsid w:val="00687065"/>
    <w:rsid w:val="00687898"/>
    <w:rsid w:val="006A1D8C"/>
    <w:rsid w:val="006A21D6"/>
    <w:rsid w:val="006A62B0"/>
    <w:rsid w:val="006B3883"/>
    <w:rsid w:val="006E282B"/>
    <w:rsid w:val="006E2A9B"/>
    <w:rsid w:val="006F4AC7"/>
    <w:rsid w:val="00700E61"/>
    <w:rsid w:val="0070109D"/>
    <w:rsid w:val="00702858"/>
    <w:rsid w:val="00702C2E"/>
    <w:rsid w:val="00710C8B"/>
    <w:rsid w:val="00711B6A"/>
    <w:rsid w:val="0072219B"/>
    <w:rsid w:val="00731F02"/>
    <w:rsid w:val="00732546"/>
    <w:rsid w:val="00737096"/>
    <w:rsid w:val="0074041B"/>
    <w:rsid w:val="0074363B"/>
    <w:rsid w:val="00744972"/>
    <w:rsid w:val="0074638B"/>
    <w:rsid w:val="007469A6"/>
    <w:rsid w:val="00755912"/>
    <w:rsid w:val="00764EA8"/>
    <w:rsid w:val="0077462A"/>
    <w:rsid w:val="00786B2E"/>
    <w:rsid w:val="00792E7D"/>
    <w:rsid w:val="00794D14"/>
    <w:rsid w:val="00794F10"/>
    <w:rsid w:val="00794F1B"/>
    <w:rsid w:val="007A21CC"/>
    <w:rsid w:val="007A3BAB"/>
    <w:rsid w:val="007A4E7A"/>
    <w:rsid w:val="007B1B58"/>
    <w:rsid w:val="007B702C"/>
    <w:rsid w:val="007C103B"/>
    <w:rsid w:val="007D4722"/>
    <w:rsid w:val="007D6C6F"/>
    <w:rsid w:val="007D7475"/>
    <w:rsid w:val="007E03EE"/>
    <w:rsid w:val="007E5D5E"/>
    <w:rsid w:val="007F173F"/>
    <w:rsid w:val="007F2938"/>
    <w:rsid w:val="00800854"/>
    <w:rsid w:val="00811C58"/>
    <w:rsid w:val="0081326F"/>
    <w:rsid w:val="008138B4"/>
    <w:rsid w:val="008161BE"/>
    <w:rsid w:val="0082132C"/>
    <w:rsid w:val="008234C0"/>
    <w:rsid w:val="00830782"/>
    <w:rsid w:val="008409CE"/>
    <w:rsid w:val="00846595"/>
    <w:rsid w:val="00846BFE"/>
    <w:rsid w:val="00846C67"/>
    <w:rsid w:val="00847F4D"/>
    <w:rsid w:val="00850495"/>
    <w:rsid w:val="00854615"/>
    <w:rsid w:val="00863067"/>
    <w:rsid w:val="0086375A"/>
    <w:rsid w:val="00863CEC"/>
    <w:rsid w:val="0086667B"/>
    <w:rsid w:val="00891500"/>
    <w:rsid w:val="00897269"/>
    <w:rsid w:val="008A655F"/>
    <w:rsid w:val="008B273E"/>
    <w:rsid w:val="008C2973"/>
    <w:rsid w:val="008C4D77"/>
    <w:rsid w:val="008C7C93"/>
    <w:rsid w:val="008D0267"/>
    <w:rsid w:val="008D25F9"/>
    <w:rsid w:val="008D57D6"/>
    <w:rsid w:val="008E493D"/>
    <w:rsid w:val="008E797C"/>
    <w:rsid w:val="008F01B8"/>
    <w:rsid w:val="008F4324"/>
    <w:rsid w:val="008F44FB"/>
    <w:rsid w:val="008F53D7"/>
    <w:rsid w:val="008F6A41"/>
    <w:rsid w:val="009006E7"/>
    <w:rsid w:val="00900A06"/>
    <w:rsid w:val="00907BA8"/>
    <w:rsid w:val="009141EF"/>
    <w:rsid w:val="00914C04"/>
    <w:rsid w:val="00920B3B"/>
    <w:rsid w:val="00924B2E"/>
    <w:rsid w:val="0092534C"/>
    <w:rsid w:val="0092537B"/>
    <w:rsid w:val="00927EDD"/>
    <w:rsid w:val="00936403"/>
    <w:rsid w:val="00940E49"/>
    <w:rsid w:val="00944A45"/>
    <w:rsid w:val="00944C45"/>
    <w:rsid w:val="00951AD4"/>
    <w:rsid w:val="00955A0A"/>
    <w:rsid w:val="00956921"/>
    <w:rsid w:val="00967297"/>
    <w:rsid w:val="009679C7"/>
    <w:rsid w:val="00971B7D"/>
    <w:rsid w:val="00973DD3"/>
    <w:rsid w:val="00973DE5"/>
    <w:rsid w:val="00977ADB"/>
    <w:rsid w:val="00982D43"/>
    <w:rsid w:val="00983617"/>
    <w:rsid w:val="009A096C"/>
    <w:rsid w:val="009A32C0"/>
    <w:rsid w:val="009A46F2"/>
    <w:rsid w:val="009A4A60"/>
    <w:rsid w:val="009B1F13"/>
    <w:rsid w:val="009B45FA"/>
    <w:rsid w:val="009C20DE"/>
    <w:rsid w:val="009C42AF"/>
    <w:rsid w:val="009C5E05"/>
    <w:rsid w:val="009C6792"/>
    <w:rsid w:val="009C6BE8"/>
    <w:rsid w:val="009C6C7C"/>
    <w:rsid w:val="009E041C"/>
    <w:rsid w:val="009E22C5"/>
    <w:rsid w:val="009E5EA7"/>
    <w:rsid w:val="009E5EFD"/>
    <w:rsid w:val="009F6E80"/>
    <w:rsid w:val="00A00652"/>
    <w:rsid w:val="00A06ED7"/>
    <w:rsid w:val="00A12BFB"/>
    <w:rsid w:val="00A15BAF"/>
    <w:rsid w:val="00A15FF1"/>
    <w:rsid w:val="00A2174F"/>
    <w:rsid w:val="00A31E67"/>
    <w:rsid w:val="00A40E7F"/>
    <w:rsid w:val="00A4174F"/>
    <w:rsid w:val="00A431D5"/>
    <w:rsid w:val="00A46657"/>
    <w:rsid w:val="00A524FF"/>
    <w:rsid w:val="00A618CA"/>
    <w:rsid w:val="00A65E3B"/>
    <w:rsid w:val="00A819E5"/>
    <w:rsid w:val="00A834D5"/>
    <w:rsid w:val="00A83DE2"/>
    <w:rsid w:val="00A850F2"/>
    <w:rsid w:val="00A85376"/>
    <w:rsid w:val="00A85A06"/>
    <w:rsid w:val="00A94FE8"/>
    <w:rsid w:val="00AA1ADC"/>
    <w:rsid w:val="00AA31E0"/>
    <w:rsid w:val="00AA4333"/>
    <w:rsid w:val="00AA493C"/>
    <w:rsid w:val="00AA7C53"/>
    <w:rsid w:val="00AB2462"/>
    <w:rsid w:val="00AD0577"/>
    <w:rsid w:val="00AD0B1B"/>
    <w:rsid w:val="00AE4AF8"/>
    <w:rsid w:val="00B039C0"/>
    <w:rsid w:val="00B11620"/>
    <w:rsid w:val="00B11A52"/>
    <w:rsid w:val="00B13064"/>
    <w:rsid w:val="00B17AE9"/>
    <w:rsid w:val="00B21E16"/>
    <w:rsid w:val="00B227E9"/>
    <w:rsid w:val="00B30A59"/>
    <w:rsid w:val="00B310B4"/>
    <w:rsid w:val="00B52747"/>
    <w:rsid w:val="00B54417"/>
    <w:rsid w:val="00B6000B"/>
    <w:rsid w:val="00B709B2"/>
    <w:rsid w:val="00B7335D"/>
    <w:rsid w:val="00B742D9"/>
    <w:rsid w:val="00B811B6"/>
    <w:rsid w:val="00B82330"/>
    <w:rsid w:val="00B8415B"/>
    <w:rsid w:val="00BA208D"/>
    <w:rsid w:val="00BB1463"/>
    <w:rsid w:val="00BB5619"/>
    <w:rsid w:val="00BC1071"/>
    <w:rsid w:val="00BC2AF1"/>
    <w:rsid w:val="00BC4672"/>
    <w:rsid w:val="00BC554F"/>
    <w:rsid w:val="00BD6221"/>
    <w:rsid w:val="00BE0EBE"/>
    <w:rsid w:val="00BE4037"/>
    <w:rsid w:val="00BE735C"/>
    <w:rsid w:val="00BF66A7"/>
    <w:rsid w:val="00C05EC0"/>
    <w:rsid w:val="00C07658"/>
    <w:rsid w:val="00C1384D"/>
    <w:rsid w:val="00C1662B"/>
    <w:rsid w:val="00C266DF"/>
    <w:rsid w:val="00C27E31"/>
    <w:rsid w:val="00C345FF"/>
    <w:rsid w:val="00C47B62"/>
    <w:rsid w:val="00C51C2F"/>
    <w:rsid w:val="00C53C78"/>
    <w:rsid w:val="00C547A6"/>
    <w:rsid w:val="00C62C19"/>
    <w:rsid w:val="00C7168B"/>
    <w:rsid w:val="00C75010"/>
    <w:rsid w:val="00C77FE3"/>
    <w:rsid w:val="00C816AA"/>
    <w:rsid w:val="00C846A6"/>
    <w:rsid w:val="00C84F22"/>
    <w:rsid w:val="00C918A1"/>
    <w:rsid w:val="00C9299C"/>
    <w:rsid w:val="00C94084"/>
    <w:rsid w:val="00C9515C"/>
    <w:rsid w:val="00CA637B"/>
    <w:rsid w:val="00CC23D7"/>
    <w:rsid w:val="00CC7820"/>
    <w:rsid w:val="00CD4BEF"/>
    <w:rsid w:val="00CE0C84"/>
    <w:rsid w:val="00CE24D2"/>
    <w:rsid w:val="00CF70BC"/>
    <w:rsid w:val="00D03752"/>
    <w:rsid w:val="00D10063"/>
    <w:rsid w:val="00D17723"/>
    <w:rsid w:val="00D22D15"/>
    <w:rsid w:val="00D23BE1"/>
    <w:rsid w:val="00D312EA"/>
    <w:rsid w:val="00D3784E"/>
    <w:rsid w:val="00D430EB"/>
    <w:rsid w:val="00D509B0"/>
    <w:rsid w:val="00D5200A"/>
    <w:rsid w:val="00D52F77"/>
    <w:rsid w:val="00D5575E"/>
    <w:rsid w:val="00D569A8"/>
    <w:rsid w:val="00D57463"/>
    <w:rsid w:val="00D57F1C"/>
    <w:rsid w:val="00D609DF"/>
    <w:rsid w:val="00D62090"/>
    <w:rsid w:val="00D80D8D"/>
    <w:rsid w:val="00D92C7B"/>
    <w:rsid w:val="00D92F0E"/>
    <w:rsid w:val="00D94FEF"/>
    <w:rsid w:val="00D96442"/>
    <w:rsid w:val="00DA1245"/>
    <w:rsid w:val="00DA4EAE"/>
    <w:rsid w:val="00DA6E6A"/>
    <w:rsid w:val="00DA73CB"/>
    <w:rsid w:val="00DB3A52"/>
    <w:rsid w:val="00DB3BD1"/>
    <w:rsid w:val="00DC202B"/>
    <w:rsid w:val="00DC6C01"/>
    <w:rsid w:val="00DD3A3F"/>
    <w:rsid w:val="00DD6330"/>
    <w:rsid w:val="00DE1ABA"/>
    <w:rsid w:val="00DF4334"/>
    <w:rsid w:val="00E117F2"/>
    <w:rsid w:val="00E15060"/>
    <w:rsid w:val="00E32121"/>
    <w:rsid w:val="00E40599"/>
    <w:rsid w:val="00E45E66"/>
    <w:rsid w:val="00E54647"/>
    <w:rsid w:val="00E56903"/>
    <w:rsid w:val="00E6039F"/>
    <w:rsid w:val="00E610BB"/>
    <w:rsid w:val="00E86DCE"/>
    <w:rsid w:val="00E93D2E"/>
    <w:rsid w:val="00E958E0"/>
    <w:rsid w:val="00E95D66"/>
    <w:rsid w:val="00E970D2"/>
    <w:rsid w:val="00EA3FC4"/>
    <w:rsid w:val="00ED0902"/>
    <w:rsid w:val="00ED5077"/>
    <w:rsid w:val="00EE13DB"/>
    <w:rsid w:val="00EE33D3"/>
    <w:rsid w:val="00EE4B46"/>
    <w:rsid w:val="00F1239E"/>
    <w:rsid w:val="00F13B75"/>
    <w:rsid w:val="00F152B2"/>
    <w:rsid w:val="00F238E3"/>
    <w:rsid w:val="00F25055"/>
    <w:rsid w:val="00F25BB0"/>
    <w:rsid w:val="00F275F6"/>
    <w:rsid w:val="00F3626C"/>
    <w:rsid w:val="00F40678"/>
    <w:rsid w:val="00F44074"/>
    <w:rsid w:val="00F46CD3"/>
    <w:rsid w:val="00F56BFC"/>
    <w:rsid w:val="00F638EC"/>
    <w:rsid w:val="00F66809"/>
    <w:rsid w:val="00F67BBB"/>
    <w:rsid w:val="00F70612"/>
    <w:rsid w:val="00F72A02"/>
    <w:rsid w:val="00F72B0A"/>
    <w:rsid w:val="00F835F0"/>
    <w:rsid w:val="00F84A4B"/>
    <w:rsid w:val="00F866EA"/>
    <w:rsid w:val="00F96103"/>
    <w:rsid w:val="00F96610"/>
    <w:rsid w:val="00F96E5E"/>
    <w:rsid w:val="00FA2FE6"/>
    <w:rsid w:val="00FB1BCE"/>
    <w:rsid w:val="00FB2A65"/>
    <w:rsid w:val="00FC31EF"/>
    <w:rsid w:val="00FC3B17"/>
    <w:rsid w:val="00FC61F6"/>
    <w:rsid w:val="00FC6449"/>
    <w:rsid w:val="00FD2D9A"/>
    <w:rsid w:val="00FD6D2F"/>
    <w:rsid w:val="00FE0D0B"/>
    <w:rsid w:val="00FE1CCA"/>
    <w:rsid w:val="00FE1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5A975B"/>
  <w14:defaultImageDpi w14:val="32767"/>
  <w15:chartTrackingRefBased/>
  <w15:docId w15:val="{19DD880A-BE97-4AC7-9FB5-80AB10C2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224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224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2240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2240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2240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2240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2240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2240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2240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22404"/>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222404"/>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222404"/>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222404"/>
    <w:rPr>
      <w:rFonts w:eastAsiaTheme="majorEastAsia" w:cstheme="majorBidi"/>
      <w:i/>
      <w:iCs/>
      <w:color w:val="0F4761" w:themeColor="accent1" w:themeShade="BF"/>
    </w:rPr>
  </w:style>
  <w:style w:type="character" w:customStyle="1" w:styleId="50">
    <w:name w:val="标题 5 字符"/>
    <w:basedOn w:val="a0"/>
    <w:link w:val="5"/>
    <w:uiPriority w:val="9"/>
    <w:semiHidden/>
    <w:rsid w:val="00222404"/>
    <w:rPr>
      <w:rFonts w:eastAsiaTheme="majorEastAsia" w:cstheme="majorBidi"/>
      <w:color w:val="0F4761" w:themeColor="accent1" w:themeShade="BF"/>
    </w:rPr>
  </w:style>
  <w:style w:type="character" w:customStyle="1" w:styleId="60">
    <w:name w:val="标题 6 字符"/>
    <w:basedOn w:val="a0"/>
    <w:link w:val="6"/>
    <w:uiPriority w:val="9"/>
    <w:semiHidden/>
    <w:rsid w:val="00222404"/>
    <w:rPr>
      <w:rFonts w:eastAsiaTheme="majorEastAsia" w:cstheme="majorBidi"/>
      <w:i/>
      <w:iCs/>
      <w:color w:val="595959" w:themeColor="text1" w:themeTint="A6"/>
    </w:rPr>
  </w:style>
  <w:style w:type="character" w:customStyle="1" w:styleId="70">
    <w:name w:val="标题 7 字符"/>
    <w:basedOn w:val="a0"/>
    <w:link w:val="7"/>
    <w:uiPriority w:val="9"/>
    <w:semiHidden/>
    <w:rsid w:val="00222404"/>
    <w:rPr>
      <w:rFonts w:eastAsiaTheme="majorEastAsia" w:cstheme="majorBidi"/>
      <w:color w:val="595959" w:themeColor="text1" w:themeTint="A6"/>
    </w:rPr>
  </w:style>
  <w:style w:type="character" w:customStyle="1" w:styleId="80">
    <w:name w:val="标题 8 字符"/>
    <w:basedOn w:val="a0"/>
    <w:link w:val="8"/>
    <w:uiPriority w:val="9"/>
    <w:semiHidden/>
    <w:rsid w:val="00222404"/>
    <w:rPr>
      <w:rFonts w:eastAsiaTheme="majorEastAsia" w:cstheme="majorBidi"/>
      <w:i/>
      <w:iCs/>
      <w:color w:val="272727" w:themeColor="text1" w:themeTint="D8"/>
    </w:rPr>
  </w:style>
  <w:style w:type="character" w:customStyle="1" w:styleId="90">
    <w:name w:val="标题 9 字符"/>
    <w:basedOn w:val="a0"/>
    <w:link w:val="9"/>
    <w:uiPriority w:val="9"/>
    <w:semiHidden/>
    <w:rsid w:val="00222404"/>
    <w:rPr>
      <w:rFonts w:eastAsiaTheme="majorEastAsia" w:cstheme="majorBidi"/>
      <w:color w:val="272727" w:themeColor="text1" w:themeTint="D8"/>
    </w:rPr>
  </w:style>
  <w:style w:type="paragraph" w:styleId="a3">
    <w:name w:val="Title"/>
    <w:basedOn w:val="a"/>
    <w:next w:val="a"/>
    <w:link w:val="a4"/>
    <w:uiPriority w:val="10"/>
    <w:qFormat/>
    <w:rsid w:val="002224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2240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22404"/>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22240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22404"/>
    <w:pPr>
      <w:spacing w:before="160"/>
      <w:jc w:val="center"/>
    </w:pPr>
    <w:rPr>
      <w:i/>
      <w:iCs/>
      <w:color w:val="404040" w:themeColor="text1" w:themeTint="BF"/>
    </w:rPr>
  </w:style>
  <w:style w:type="character" w:customStyle="1" w:styleId="a8">
    <w:name w:val="引用 字符"/>
    <w:basedOn w:val="a0"/>
    <w:link w:val="a7"/>
    <w:uiPriority w:val="29"/>
    <w:rsid w:val="00222404"/>
    <w:rPr>
      <w:i/>
      <w:iCs/>
      <w:color w:val="404040" w:themeColor="text1" w:themeTint="BF"/>
    </w:rPr>
  </w:style>
  <w:style w:type="paragraph" w:styleId="a9">
    <w:name w:val="List Paragraph"/>
    <w:basedOn w:val="a"/>
    <w:uiPriority w:val="34"/>
    <w:qFormat/>
    <w:rsid w:val="00222404"/>
    <w:pPr>
      <w:ind w:left="720"/>
      <w:contextualSpacing/>
    </w:pPr>
  </w:style>
  <w:style w:type="character" w:styleId="aa">
    <w:name w:val="Intense Emphasis"/>
    <w:basedOn w:val="a0"/>
    <w:uiPriority w:val="21"/>
    <w:qFormat/>
    <w:rsid w:val="00222404"/>
    <w:rPr>
      <w:i/>
      <w:iCs/>
      <w:color w:val="0F4761" w:themeColor="accent1" w:themeShade="BF"/>
    </w:rPr>
  </w:style>
  <w:style w:type="paragraph" w:styleId="ab">
    <w:name w:val="Intense Quote"/>
    <w:basedOn w:val="a"/>
    <w:next w:val="a"/>
    <w:link w:val="ac"/>
    <w:uiPriority w:val="30"/>
    <w:qFormat/>
    <w:rsid w:val="002224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22404"/>
    <w:rPr>
      <w:i/>
      <w:iCs/>
      <w:color w:val="0F4761" w:themeColor="accent1" w:themeShade="BF"/>
    </w:rPr>
  </w:style>
  <w:style w:type="character" w:styleId="ad">
    <w:name w:val="Intense Reference"/>
    <w:basedOn w:val="a0"/>
    <w:uiPriority w:val="32"/>
    <w:qFormat/>
    <w:rsid w:val="00222404"/>
    <w:rPr>
      <w:b/>
      <w:bCs/>
      <w:smallCaps/>
      <w:color w:val="0F4761" w:themeColor="accent1" w:themeShade="BF"/>
      <w:spacing w:val="5"/>
    </w:rPr>
  </w:style>
  <w:style w:type="table" w:styleId="ae">
    <w:name w:val="Table Grid"/>
    <w:basedOn w:val="a1"/>
    <w:uiPriority w:val="39"/>
    <w:rsid w:val="00C26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Grid Table Light"/>
    <w:basedOn w:val="a1"/>
    <w:uiPriority w:val="40"/>
    <w:rsid w:val="00FB2A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41">
    <w:name w:val="Plain Table 4"/>
    <w:basedOn w:val="a1"/>
    <w:uiPriority w:val="44"/>
    <w:rsid w:val="00FB2A6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dNoteBibliographyTitle">
    <w:name w:val="EndNote Bibliography Title"/>
    <w:basedOn w:val="a"/>
    <w:link w:val="EndNoteBibliographyTitle0"/>
    <w:rsid w:val="003812FD"/>
    <w:pPr>
      <w:spacing w:after="0"/>
      <w:jc w:val="center"/>
    </w:pPr>
    <w:rPr>
      <w:rFonts w:ascii="Aptos" w:hAnsi="Aptos"/>
      <w:noProof/>
    </w:rPr>
  </w:style>
  <w:style w:type="character" w:customStyle="1" w:styleId="EndNoteBibliographyTitle0">
    <w:name w:val="EndNote Bibliography Title 字符"/>
    <w:basedOn w:val="a0"/>
    <w:link w:val="EndNoteBibliographyTitle"/>
    <w:rsid w:val="003812FD"/>
    <w:rPr>
      <w:rFonts w:ascii="Aptos" w:hAnsi="Aptos"/>
      <w:noProof/>
    </w:rPr>
  </w:style>
  <w:style w:type="paragraph" w:customStyle="1" w:styleId="EndNoteBibliography">
    <w:name w:val="EndNote Bibliography"/>
    <w:basedOn w:val="a"/>
    <w:link w:val="EndNoteBibliography0"/>
    <w:rsid w:val="003812FD"/>
    <w:pPr>
      <w:spacing w:line="240" w:lineRule="auto"/>
    </w:pPr>
    <w:rPr>
      <w:rFonts w:ascii="Aptos" w:hAnsi="Aptos"/>
      <w:noProof/>
    </w:rPr>
  </w:style>
  <w:style w:type="character" w:customStyle="1" w:styleId="EndNoteBibliography0">
    <w:name w:val="EndNote Bibliography 字符"/>
    <w:basedOn w:val="a0"/>
    <w:link w:val="EndNoteBibliography"/>
    <w:rsid w:val="003812FD"/>
    <w:rPr>
      <w:rFonts w:ascii="Aptos" w:hAnsi="Aptos"/>
      <w:noProof/>
    </w:rPr>
  </w:style>
  <w:style w:type="character" w:styleId="af0">
    <w:name w:val="Hyperlink"/>
    <w:basedOn w:val="a0"/>
    <w:uiPriority w:val="99"/>
    <w:unhideWhenUsed/>
    <w:rsid w:val="003812FD"/>
    <w:rPr>
      <w:color w:val="467886" w:themeColor="hyperlink"/>
      <w:u w:val="single"/>
    </w:rPr>
  </w:style>
  <w:style w:type="character" w:styleId="af1">
    <w:name w:val="Unresolved Mention"/>
    <w:basedOn w:val="a0"/>
    <w:uiPriority w:val="99"/>
    <w:semiHidden/>
    <w:unhideWhenUsed/>
    <w:rsid w:val="003812FD"/>
    <w:rPr>
      <w:color w:val="605E5C"/>
      <w:shd w:val="clear" w:color="auto" w:fill="E1DFDD"/>
    </w:rPr>
  </w:style>
  <w:style w:type="paragraph" w:styleId="af2">
    <w:name w:val="header"/>
    <w:basedOn w:val="a"/>
    <w:link w:val="af3"/>
    <w:uiPriority w:val="99"/>
    <w:unhideWhenUsed/>
    <w:rsid w:val="005D6211"/>
    <w:pPr>
      <w:tabs>
        <w:tab w:val="center" w:pos="4153"/>
        <w:tab w:val="right" w:pos="8306"/>
      </w:tabs>
      <w:snapToGrid w:val="0"/>
      <w:spacing w:line="240" w:lineRule="auto"/>
      <w:jc w:val="center"/>
    </w:pPr>
    <w:rPr>
      <w:sz w:val="18"/>
      <w:szCs w:val="18"/>
    </w:rPr>
  </w:style>
  <w:style w:type="character" w:customStyle="1" w:styleId="af3">
    <w:name w:val="页眉 字符"/>
    <w:basedOn w:val="a0"/>
    <w:link w:val="af2"/>
    <w:uiPriority w:val="99"/>
    <w:rsid w:val="005D6211"/>
    <w:rPr>
      <w:sz w:val="18"/>
      <w:szCs w:val="18"/>
    </w:rPr>
  </w:style>
  <w:style w:type="paragraph" w:styleId="af4">
    <w:name w:val="footer"/>
    <w:basedOn w:val="a"/>
    <w:link w:val="af5"/>
    <w:uiPriority w:val="99"/>
    <w:unhideWhenUsed/>
    <w:rsid w:val="005D6211"/>
    <w:pPr>
      <w:tabs>
        <w:tab w:val="center" w:pos="4153"/>
        <w:tab w:val="right" w:pos="8306"/>
      </w:tabs>
      <w:snapToGrid w:val="0"/>
      <w:spacing w:line="240" w:lineRule="auto"/>
    </w:pPr>
    <w:rPr>
      <w:sz w:val="18"/>
      <w:szCs w:val="18"/>
    </w:rPr>
  </w:style>
  <w:style w:type="character" w:customStyle="1" w:styleId="af5">
    <w:name w:val="页脚 字符"/>
    <w:basedOn w:val="a0"/>
    <w:link w:val="af4"/>
    <w:uiPriority w:val="99"/>
    <w:rsid w:val="005D6211"/>
    <w:rPr>
      <w:sz w:val="18"/>
      <w:szCs w:val="18"/>
    </w:rPr>
  </w:style>
  <w:style w:type="paragraph" w:customStyle="1" w:styleId="TAMainText">
    <w:name w:val="TA_Main_Text"/>
    <w:basedOn w:val="a"/>
    <w:autoRedefine/>
    <w:rsid w:val="009E041C"/>
    <w:pPr>
      <w:spacing w:after="60" w:line="360" w:lineRule="auto"/>
      <w:ind w:firstLine="180"/>
    </w:pPr>
    <w:rPr>
      <w:rFonts w:ascii="Times New Roman" w:eastAsiaTheme="majorEastAsia" w:hAnsi="Times New Roman" w:cs="Times New Roman"/>
      <w:color w:val="000000" w:themeColor="text1"/>
      <w:kern w:val="21"/>
      <w:sz w:val="20"/>
      <w:szCs w:val="22"/>
      <w:lang w:val="en-GB"/>
      <w14:ligatures w14:val="none"/>
    </w:rPr>
  </w:style>
  <w:style w:type="character" w:customStyle="1" w:styleId="fontstyle01">
    <w:name w:val="fontstyle01"/>
    <w:basedOn w:val="a0"/>
    <w:rsid w:val="0074638B"/>
    <w:rPr>
      <w:rFonts w:ascii="TimesNewRomanPSMT" w:hAnsi="TimesNewRomanPSMT" w:hint="default"/>
      <w:b w:val="0"/>
      <w:bCs w:val="0"/>
      <w:i w:val="0"/>
      <w:iCs w:val="0"/>
      <w:color w:val="000000"/>
      <w:sz w:val="24"/>
      <w:szCs w:val="24"/>
    </w:rPr>
  </w:style>
  <w:style w:type="character" w:customStyle="1" w:styleId="fontstyle21">
    <w:name w:val="fontstyle21"/>
    <w:basedOn w:val="a0"/>
    <w:rsid w:val="0074638B"/>
    <w:rPr>
      <w:rFonts w:ascii="楷体" w:eastAsia="楷体" w:hAnsi="楷体" w:hint="eastAsia"/>
      <w:b w:val="0"/>
      <w:bCs w:val="0"/>
      <w:i w:val="0"/>
      <w:iCs w:val="0"/>
      <w:color w:val="4EA72E"/>
      <w:sz w:val="24"/>
      <w:szCs w:val="24"/>
    </w:rPr>
  </w:style>
  <w:style w:type="character" w:styleId="af6">
    <w:name w:val="annotation reference"/>
    <w:basedOn w:val="a0"/>
    <w:uiPriority w:val="99"/>
    <w:semiHidden/>
    <w:unhideWhenUsed/>
    <w:rsid w:val="00A00652"/>
    <w:rPr>
      <w:sz w:val="21"/>
      <w:szCs w:val="21"/>
    </w:rPr>
  </w:style>
  <w:style w:type="paragraph" w:styleId="af7">
    <w:name w:val="annotation text"/>
    <w:basedOn w:val="a"/>
    <w:link w:val="af8"/>
    <w:uiPriority w:val="99"/>
    <w:unhideWhenUsed/>
    <w:rsid w:val="00A00652"/>
  </w:style>
  <w:style w:type="character" w:customStyle="1" w:styleId="af8">
    <w:name w:val="批注文字 字符"/>
    <w:basedOn w:val="a0"/>
    <w:link w:val="af7"/>
    <w:uiPriority w:val="99"/>
    <w:rsid w:val="00A00652"/>
  </w:style>
  <w:style w:type="paragraph" w:styleId="af9">
    <w:name w:val="annotation subject"/>
    <w:basedOn w:val="af7"/>
    <w:next w:val="af7"/>
    <w:link w:val="afa"/>
    <w:uiPriority w:val="99"/>
    <w:semiHidden/>
    <w:unhideWhenUsed/>
    <w:rsid w:val="00A00652"/>
    <w:rPr>
      <w:b/>
      <w:bCs/>
    </w:rPr>
  </w:style>
  <w:style w:type="character" w:customStyle="1" w:styleId="afa">
    <w:name w:val="批注主题 字符"/>
    <w:basedOn w:val="af8"/>
    <w:link w:val="af9"/>
    <w:uiPriority w:val="99"/>
    <w:semiHidden/>
    <w:rsid w:val="00A00652"/>
    <w:rPr>
      <w:b/>
      <w:bCs/>
    </w:rPr>
  </w:style>
  <w:style w:type="paragraph" w:styleId="afb">
    <w:name w:val="Bibliography"/>
    <w:basedOn w:val="a"/>
    <w:next w:val="a"/>
    <w:uiPriority w:val="37"/>
    <w:semiHidden/>
    <w:unhideWhenUsed/>
    <w:rsid w:val="00955A0A"/>
  </w:style>
  <w:style w:type="table" w:styleId="11">
    <w:name w:val="Plain Table 1"/>
    <w:basedOn w:val="a1"/>
    <w:uiPriority w:val="41"/>
    <w:rsid w:val="00C1384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1">
    <w:name w:val="Grid Table 2"/>
    <w:basedOn w:val="a1"/>
    <w:uiPriority w:val="47"/>
    <w:rsid w:val="00C1384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List Table 6 Colorful"/>
    <w:basedOn w:val="a1"/>
    <w:uiPriority w:val="51"/>
    <w:rsid w:val="00C1384D"/>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fc">
    <w:name w:val="Revision"/>
    <w:hidden/>
    <w:uiPriority w:val="99"/>
    <w:semiHidden/>
    <w:rsid w:val="00F67BBB"/>
    <w:pPr>
      <w:spacing w:after="0" w:line="240" w:lineRule="auto"/>
    </w:pPr>
  </w:style>
  <w:style w:type="table" w:styleId="22">
    <w:name w:val="Plain Table 2"/>
    <w:basedOn w:val="a1"/>
    <w:uiPriority w:val="42"/>
    <w:rsid w:val="009679C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7447">
      <w:bodyDiv w:val="1"/>
      <w:marLeft w:val="0"/>
      <w:marRight w:val="0"/>
      <w:marTop w:val="0"/>
      <w:marBottom w:val="0"/>
      <w:divBdr>
        <w:top w:val="none" w:sz="0" w:space="0" w:color="auto"/>
        <w:left w:val="none" w:sz="0" w:space="0" w:color="auto"/>
        <w:bottom w:val="none" w:sz="0" w:space="0" w:color="auto"/>
        <w:right w:val="none" w:sz="0" w:space="0" w:color="auto"/>
      </w:divBdr>
    </w:div>
    <w:div w:id="455291966">
      <w:bodyDiv w:val="1"/>
      <w:marLeft w:val="0"/>
      <w:marRight w:val="0"/>
      <w:marTop w:val="0"/>
      <w:marBottom w:val="0"/>
      <w:divBdr>
        <w:top w:val="none" w:sz="0" w:space="0" w:color="auto"/>
        <w:left w:val="none" w:sz="0" w:space="0" w:color="auto"/>
        <w:bottom w:val="none" w:sz="0" w:space="0" w:color="auto"/>
        <w:right w:val="none" w:sz="0" w:space="0" w:color="auto"/>
      </w:divBdr>
    </w:div>
    <w:div w:id="828404123">
      <w:bodyDiv w:val="1"/>
      <w:marLeft w:val="0"/>
      <w:marRight w:val="0"/>
      <w:marTop w:val="0"/>
      <w:marBottom w:val="0"/>
      <w:divBdr>
        <w:top w:val="none" w:sz="0" w:space="0" w:color="auto"/>
        <w:left w:val="none" w:sz="0" w:space="0" w:color="auto"/>
        <w:bottom w:val="none" w:sz="0" w:space="0" w:color="auto"/>
        <w:right w:val="none" w:sz="0" w:space="0" w:color="auto"/>
      </w:divBdr>
    </w:div>
    <w:div w:id="1249190759">
      <w:bodyDiv w:val="1"/>
      <w:marLeft w:val="0"/>
      <w:marRight w:val="0"/>
      <w:marTop w:val="0"/>
      <w:marBottom w:val="0"/>
      <w:divBdr>
        <w:top w:val="none" w:sz="0" w:space="0" w:color="auto"/>
        <w:left w:val="none" w:sz="0" w:space="0" w:color="auto"/>
        <w:bottom w:val="none" w:sz="0" w:space="0" w:color="auto"/>
        <w:right w:val="none" w:sz="0" w:space="0" w:color="auto"/>
      </w:divBdr>
    </w:div>
    <w:div w:id="1423526155">
      <w:bodyDiv w:val="1"/>
      <w:marLeft w:val="0"/>
      <w:marRight w:val="0"/>
      <w:marTop w:val="0"/>
      <w:marBottom w:val="0"/>
      <w:divBdr>
        <w:top w:val="none" w:sz="0" w:space="0" w:color="auto"/>
        <w:left w:val="none" w:sz="0" w:space="0" w:color="auto"/>
        <w:bottom w:val="none" w:sz="0" w:space="0" w:color="auto"/>
        <w:right w:val="none" w:sz="0" w:space="0" w:color="auto"/>
      </w:divBdr>
    </w:div>
    <w:div w:id="1440373257">
      <w:bodyDiv w:val="1"/>
      <w:marLeft w:val="0"/>
      <w:marRight w:val="0"/>
      <w:marTop w:val="0"/>
      <w:marBottom w:val="0"/>
      <w:divBdr>
        <w:top w:val="none" w:sz="0" w:space="0" w:color="auto"/>
        <w:left w:val="none" w:sz="0" w:space="0" w:color="auto"/>
        <w:bottom w:val="none" w:sz="0" w:space="0" w:color="auto"/>
        <w:right w:val="none" w:sz="0" w:space="0" w:color="auto"/>
      </w:divBdr>
      <w:divsChild>
        <w:div w:id="475339933">
          <w:marLeft w:val="0"/>
          <w:marRight w:val="0"/>
          <w:marTop w:val="0"/>
          <w:marBottom w:val="0"/>
          <w:divBdr>
            <w:top w:val="none" w:sz="0" w:space="0" w:color="auto"/>
            <w:left w:val="none" w:sz="0" w:space="0" w:color="auto"/>
            <w:bottom w:val="none" w:sz="0" w:space="0" w:color="auto"/>
            <w:right w:val="none" w:sz="0" w:space="0" w:color="auto"/>
          </w:divBdr>
          <w:divsChild>
            <w:div w:id="212750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90D32-2119-4C0C-885A-DA0C6AD18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2463</Words>
  <Characters>13260</Characters>
  <Application>Microsoft Office Word</Application>
  <DocSecurity>0</DocSecurity>
  <Lines>337</Lines>
  <Paragraphs>163</Paragraphs>
  <ScaleCrop>false</ScaleCrop>
  <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淑雯 郭</cp:lastModifiedBy>
  <cp:revision>3</cp:revision>
  <cp:lastPrinted>2024-07-18T06:39:00Z</cp:lastPrinted>
  <dcterms:created xsi:type="dcterms:W3CDTF">2025-01-08T06:54:00Z</dcterms:created>
  <dcterms:modified xsi:type="dcterms:W3CDTF">2025-01-08T07:11:00Z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2024-07-11T10:28:37Z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f339d04f-3c2e-4d02-8acb-256311a691e3</vt:lpwstr>
  </property>
  <property fmtid="{D5CDD505-2E9C-101B-9397-08002B2CF9AE}" pid="7" name="MSIP_Label_defa4170-0d19-0005-0004-bc88714345d2_ActionId">
    <vt:lpwstr>e8b992ad-bebc-4f01-b461-35bffa3d949d</vt:lpwstr>
  </property>
  <property fmtid="{D5CDD505-2E9C-101B-9397-08002B2CF9AE}" pid="8" name="MSIP_Label_defa4170-0d19-0005-0004-bc88714345d2_ContentBits">
    <vt:lpwstr>0</vt:lpwstr>
  </property>
  <property fmtid="{D5CDD505-2E9C-101B-9397-08002B2CF9AE}" pid="9" name="GrammarlyDocumentId">
    <vt:lpwstr>9e2fe4c3e39a29af4e3f430b702d8e67272d6712c661ab4bfbef4ecf5d295292</vt:lpwstr>
  </property>
</Properties>
</file>